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57BB8" w:rsidRPr="000A7418" w:rsidRDefault="002E5D6C" w:rsidP="000A7418">
      <w:pPr>
        <w:pStyle w:val="Heading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Like Silverlight or WPF (</w:t>
      </w:r>
      <w:r w:rsidRPr="00B57B0B">
        <w:rPr>
          <w:sz w:val="24"/>
          <w:szCs w:val="24"/>
        </w:rPr>
        <w:t>Windows Presentation Foundation)</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6"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9C4A6C" w:rsidRPr="00B57B0B">
        <w:rPr>
          <w:sz w:val="24"/>
          <w:szCs w:val="24"/>
        </w:rPr>
        <w:t xml:space="preserve"> Xmal with Silverlight or WPF) and bind their view models implemented in any .NET language.  Both your view models and your business </w:t>
      </w:r>
      <w:r>
        <w:rPr>
          <w:sz w:val="24"/>
          <w:szCs w:val="24"/>
        </w:rPr>
        <w:t xml:space="preserve">objects </w:t>
      </w:r>
      <w:r w:rsidR="008A21C9">
        <w:rPr>
          <w:sz w:val="24"/>
          <w:szCs w:val="24"/>
        </w:rPr>
        <w:t>are UI free. T</w:t>
      </w:r>
      <w:r w:rsidR="00553186">
        <w:rPr>
          <w:sz w:val="24"/>
          <w:szCs w:val="24"/>
        </w:rPr>
        <w:t xml:space="preserve">hey can be bound to any views implemented using </w:t>
      </w:r>
      <w:r w:rsidR="008A21C9">
        <w:rPr>
          <w:sz w:val="24"/>
          <w:szCs w:val="24"/>
        </w:rPr>
        <w:t>the MVVM pattern</w:t>
      </w:r>
      <w:r w:rsidR="009C4A6C" w:rsidRPr="00B57B0B">
        <w:rPr>
          <w:sz w:val="24"/>
          <w:szCs w:val="24"/>
        </w:rPr>
        <w:t>.</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r w:rsidR="006E2A8C">
        <w:rPr>
          <w:sz w:val="24"/>
          <w:szCs w:val="24"/>
        </w:rPr>
        <w:t xml:space="preserve"> </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complicated formulas and macros in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Heading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just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7"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your local disk. </w:t>
      </w:r>
    </w:p>
    <w:p w:rsidR="008D0DDC" w:rsidRPr="00B57B0B" w:rsidRDefault="008D0DDC" w:rsidP="00CC3347">
      <w:pPr>
        <w:pStyle w:val="ListParagraph"/>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(*.dll, *.xll and *.cmd).</w:t>
      </w:r>
      <w:r w:rsidR="00B0771C">
        <w:rPr>
          <w:sz w:val="24"/>
          <w:szCs w:val="24"/>
        </w:rPr>
        <w:t xml:space="preserve"> Right click on each file and select Properties to unblock a file.</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Pr="00B57B0B">
        <w:rPr>
          <w:sz w:val="24"/>
          <w:szCs w:val="24"/>
        </w:rPr>
        <w:t xml:space="preserve"> Excel screen showing below.</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Click on “Start Auto-Deal” and “Start Simulation”, and you are on your way of making (or losing) loads money from the foreign exchange spot market.</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lastRenderedPageBreak/>
        <w:t xml:space="preserve">Navigate to other tabs on the sheet to get a basic idea how ExcelMVC </w:t>
      </w:r>
      <w:r w:rsidR="00B668BA" w:rsidRPr="00B57B0B">
        <w:rPr>
          <w:sz w:val="24"/>
          <w:szCs w:val="24"/>
        </w:rPr>
        <w:t>glues things together</w:t>
      </w:r>
      <w:r w:rsidRPr="00B57B0B">
        <w:rPr>
          <w:sz w:val="24"/>
          <w:szCs w:val="24"/>
        </w:rPr>
        <w:t>. Press Alt-F11 to see there is absolute no VB code behind</w:t>
      </w:r>
      <w:bookmarkStart w:id="0" w:name="_GoBack"/>
      <w:bookmarkEnd w:id="0"/>
    </w:p>
    <w:p w:rsidR="002A33FB" w:rsidRDefault="002A33FB" w:rsidP="008D0DDC">
      <w:r>
        <w:rPr>
          <w:noProof/>
          <w:lang w:eastAsia="en-AU"/>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Heading1"/>
        <w:rPr>
          <w:color w:val="2E74B5" w:themeColor="accent1" w:themeShade="BF"/>
          <w:sz w:val="36"/>
          <w:szCs w:val="36"/>
        </w:rPr>
      </w:pPr>
      <w:r>
        <w:rPr>
          <w:color w:val="2E74B5" w:themeColor="accent1" w:themeShade="BF"/>
          <w:sz w:val="36"/>
          <w:szCs w:val="36"/>
        </w:rPr>
        <w:t xml:space="preserve">Creating your </w:t>
      </w:r>
      <w:r w:rsidR="001D245F">
        <w:rPr>
          <w:color w:val="2E74B5" w:themeColor="accent1" w:themeShade="BF"/>
          <w:sz w:val="36"/>
          <w:szCs w:val="36"/>
        </w:rPr>
        <w:t xml:space="preserve">first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These two parts are 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trading sample to work through the process of creating your first ExcelMVC project.</w:t>
      </w:r>
    </w:p>
    <w:p w:rsidR="001D245F" w:rsidRDefault="001D245F" w:rsidP="004C254E">
      <w:pPr>
        <w:pStyle w:val="Heading2"/>
      </w:pPr>
    </w:p>
    <w:p w:rsidR="004C254E" w:rsidRPr="0051071B" w:rsidRDefault="004C254E" w:rsidP="004C254E">
      <w:pPr>
        <w:pStyle w:val="Heading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Heading4"/>
        <w:rPr>
          <w:color w:val="2E74B5" w:themeColor="accent1" w:themeShade="BF"/>
          <w:sz w:val="24"/>
          <w:szCs w:val="24"/>
          <w:u w:val="single"/>
        </w:rPr>
      </w:pPr>
      <w:r w:rsidRPr="0051071B">
        <w:rPr>
          <w:color w:val="2E74B5" w:themeColor="accent1" w:themeShade="BF"/>
          <w:sz w:val="24"/>
          <w:szCs w:val="24"/>
          <w:u w:val="single"/>
        </w:rPr>
        <w:t>Identifying ExcelMVC workbook</w:t>
      </w:r>
      <w:r>
        <w:rPr>
          <w:color w:val="2E74B5" w:themeColor="accent1" w:themeShade="BF"/>
          <w:sz w:val="24"/>
          <w:szCs w:val="24"/>
          <w:u w:val="single"/>
        </w:rPr>
        <w:t>s</w:t>
      </w:r>
    </w:p>
    <w:p w:rsidR="001D245F" w:rsidRDefault="001D245F" w:rsidP="005D4FCF">
      <w:pPr>
        <w:pStyle w:val="Heading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An ExcelMVC workbook is identified by a custom property “ExcelMVC” (</w:t>
      </w:r>
      <w:r w:rsidR="00271167">
        <w:rPr>
          <w:sz w:val="24"/>
          <w:szCs w:val="24"/>
        </w:rPr>
        <w:t xml:space="preserve">Please note </w:t>
      </w:r>
      <w:r>
        <w:rPr>
          <w:sz w:val="24"/>
          <w:szCs w:val="24"/>
        </w:rPr>
        <w:t xml:space="preserve">ExcelMVC string comparison is case insensitive). </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eastAsia="en-AU"/>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Later in this tutorial, you will see how ExcelMVC notifies you whenever a workbook is about to be opened in your Excel session. You use this ExcelMVC property to identify if a workbook belongs to your ExcelMVC application.</w:t>
      </w:r>
    </w:p>
    <w:p w:rsidR="0051071B" w:rsidRDefault="0051071B" w:rsidP="0051071B">
      <w:pPr>
        <w:rPr>
          <w:sz w:val="24"/>
          <w:szCs w:val="24"/>
        </w:rPr>
      </w:pPr>
    </w:p>
    <w:p w:rsidR="0051071B" w:rsidRPr="0051071B" w:rsidRDefault="00271167" w:rsidP="0051071B">
      <w:pPr>
        <w:pStyle w:val="Heading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Form and Table.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your workbook. </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“ExcelMVC.Form.</w:t>
      </w:r>
      <w:r w:rsidR="008E326D">
        <w:rPr>
          <w:sz w:val="24"/>
          <w:szCs w:val="24"/>
        </w:rPr>
        <w:t>X</w:t>
      </w:r>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eastAsia="en-AU"/>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“ExcelMVC.Table.</w:t>
      </w:r>
      <w:r w:rsidR="000B38F0">
        <w:rPr>
          <w:sz w:val="24"/>
          <w:szCs w:val="24"/>
        </w:rPr>
        <w:t>Y</w:t>
      </w:r>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eastAsia="en-AU"/>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The heading row in a definition range is what ExcelMVC uses to parse binding settings. The ordering of the headings is insignificant, but the actual heading text is significant. The table lists headings required by ExcelMVC.</w:t>
      </w:r>
    </w:p>
    <w:tbl>
      <w:tblPr>
        <w:tblStyle w:val="TableGrid"/>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lastRenderedPageBreak/>
              <w:t>Use Excel function CELL, e.g. “</w:t>
            </w:r>
            <w:r w:rsidRPr="004C30DE">
              <w:rPr>
                <w:sz w:val="24"/>
                <w:szCs w:val="24"/>
              </w:rPr>
              <w:t>=CELL("address", Trading</w:t>
            </w:r>
            <w:proofErr w:type="gramStart"/>
            <w:r w:rsidRPr="004C30DE">
              <w:rPr>
                <w:sz w:val="24"/>
                <w:szCs w:val="24"/>
              </w:rPr>
              <w:t>!A10</w:t>
            </w:r>
            <w:proofErr w:type="gramEnd"/>
            <w:r w:rsidRPr="004C30DE">
              <w:rPr>
                <w:sz w:val="24"/>
                <w:szCs w:val="24"/>
              </w:rPr>
              <w:t>)</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r w:rsidRPr="00D25535">
              <w:rPr>
                <w:b/>
                <w:sz w:val="24"/>
                <w:szCs w:val="24"/>
              </w:rPr>
              <w:t>OneWay</w:t>
            </w:r>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r w:rsidRPr="00D25535">
              <w:rPr>
                <w:b/>
                <w:sz w:val="24"/>
                <w:szCs w:val="24"/>
              </w:rPr>
              <w:t>OneWay</w:t>
            </w:r>
            <w:r>
              <w:rPr>
                <w:b/>
                <w:sz w:val="24"/>
                <w:szCs w:val="24"/>
              </w:rPr>
              <w:t>ToSource</w:t>
            </w:r>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r>
              <w:rPr>
                <w:b/>
                <w:sz w:val="24"/>
                <w:szCs w:val="24"/>
              </w:rPr>
              <w:t>Two</w:t>
            </w:r>
            <w:r w:rsidRPr="00D25535">
              <w:rPr>
                <w:b/>
                <w:sz w:val="24"/>
                <w:szCs w:val="24"/>
              </w:rPr>
              <w:t>Way</w:t>
            </w:r>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This setting does not apply for Forms.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r>
              <w:rPr>
                <w:sz w:val="24"/>
                <w:szCs w:val="24"/>
              </w:rPr>
              <w:t xml:space="preserve">System.Wndows.Data.IValueConverter).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t>
            </w:r>
            <w:r>
              <w:rPr>
                <w:sz w:val="24"/>
                <w:szCs w:val="24"/>
              </w:rPr>
              <w:lastRenderedPageBreak/>
              <w:t xml:space="preserve">will be bound to as many rows </w:t>
            </w:r>
            <w:r w:rsidR="004F6E07">
              <w:rPr>
                <w:sz w:val="24"/>
                <w:szCs w:val="24"/>
              </w:rPr>
              <w:t>as the number of objects available in its view code.</w:t>
            </w:r>
          </w:p>
        </w:tc>
      </w:tr>
    </w:tbl>
    <w:p w:rsidR="003D014F" w:rsidRDefault="003D014F" w:rsidP="0051071B">
      <w:pPr>
        <w:rPr>
          <w:sz w:val="24"/>
          <w:szCs w:val="24"/>
        </w:rPr>
      </w:pPr>
    </w:p>
    <w:p w:rsidR="00847653" w:rsidRDefault="00847653" w:rsidP="0051071B">
      <w:pPr>
        <w:rPr>
          <w:sz w:val="24"/>
          <w:szCs w:val="24"/>
        </w:rPr>
      </w:pPr>
    </w:p>
    <w:p w:rsidR="00847653" w:rsidRPr="0051071B" w:rsidRDefault="00847653" w:rsidP="00847653">
      <w:pPr>
        <w:pStyle w:val="Heading4"/>
        <w:rPr>
          <w:color w:val="2E74B5" w:themeColor="accent1" w:themeShade="BF"/>
          <w:sz w:val="24"/>
          <w:szCs w:val="24"/>
          <w:u w:val="single"/>
        </w:rPr>
      </w:pPr>
      <w:r>
        <w:rPr>
          <w:color w:val="2E74B5" w:themeColor="accent1" w:themeShade="BF"/>
          <w:sz w:val="24"/>
          <w:szCs w:val="24"/>
          <w:u w:val="single"/>
        </w:rPr>
        <w:t xml:space="preserve">Defining ExcelMVC </w:t>
      </w:r>
      <w:r>
        <w:rPr>
          <w:color w:val="2E74B5" w:themeColor="accent1" w:themeShade="BF"/>
          <w:sz w:val="24"/>
          <w:szCs w:val="24"/>
          <w:u w:val="single"/>
        </w:rPr>
        <w:t>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A portrait table binds each object in its view model to an Excel row. To define a portrait table, simply specify the Data Path of each binding on one Excel row.</w:t>
      </w:r>
    </w:p>
    <w:p w:rsidR="00847653" w:rsidRDefault="00847653" w:rsidP="00847653">
      <w:pPr>
        <w:rPr>
          <w:sz w:val="24"/>
          <w:szCs w:val="24"/>
        </w:rPr>
      </w:pPr>
      <w:r>
        <w:rPr>
          <w:sz w:val="24"/>
          <w:szCs w:val="24"/>
        </w:rPr>
        <w:t xml:space="preserve">A </w:t>
      </w:r>
      <w:r>
        <w:rPr>
          <w:sz w:val="24"/>
          <w:szCs w:val="24"/>
        </w:rPr>
        <w:t xml:space="preserve">landscape </w:t>
      </w:r>
      <w:r>
        <w:rPr>
          <w:sz w:val="24"/>
          <w:szCs w:val="24"/>
        </w:rPr>
        <w:t xml:space="preserve">table binds each object in its view model to an Excel </w:t>
      </w:r>
      <w:r>
        <w:rPr>
          <w:sz w:val="24"/>
          <w:szCs w:val="24"/>
        </w:rPr>
        <w:t>column</w:t>
      </w:r>
      <w:r>
        <w:rPr>
          <w:sz w:val="24"/>
          <w:szCs w:val="24"/>
        </w:rPr>
        <w:t xml:space="preserve">. To define a landscape table, simply specify the Data Path of each binding on </w:t>
      </w:r>
      <w:r w:rsidR="001E33BE">
        <w:rPr>
          <w:sz w:val="24"/>
          <w:szCs w:val="24"/>
        </w:rPr>
        <w:t>one Excel column</w:t>
      </w:r>
      <w:r>
        <w:rPr>
          <w:sz w:val="24"/>
          <w:szCs w:val="24"/>
        </w:rPr>
        <w:t>.</w:t>
      </w:r>
    </w:p>
    <w:p w:rsidR="009D61EE" w:rsidRDefault="009D61EE" w:rsidP="009D61EE">
      <w:pPr>
        <w:pStyle w:val="Heading4"/>
        <w:rPr>
          <w:color w:val="2E74B5" w:themeColor="accent1" w:themeShade="BF"/>
          <w:sz w:val="24"/>
          <w:szCs w:val="24"/>
          <w:u w:val="single"/>
        </w:rPr>
      </w:pPr>
    </w:p>
    <w:p w:rsidR="009D61EE" w:rsidRDefault="009D61EE" w:rsidP="009D61EE">
      <w:pPr>
        <w:pStyle w:val="Heading4"/>
        <w:rPr>
          <w:color w:val="2E74B5" w:themeColor="accent1" w:themeShade="BF"/>
          <w:sz w:val="24"/>
          <w:szCs w:val="24"/>
          <w:u w:val="single"/>
        </w:rPr>
      </w:pPr>
      <w:r>
        <w:rPr>
          <w:color w:val="2E74B5" w:themeColor="accent1" w:themeShade="BF"/>
          <w:sz w:val="24"/>
          <w:szCs w:val="24"/>
          <w:u w:val="single"/>
        </w:rPr>
        <w:t xml:space="preserve">Defining ExcelMVC </w:t>
      </w:r>
      <w:r>
        <w:rPr>
          <w:color w:val="2E74B5" w:themeColor="accent1" w:themeShade="BF"/>
          <w:sz w:val="24"/>
          <w:szCs w:val="24"/>
          <w:u w:val="single"/>
        </w:rPr>
        <w:t>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Paragraph"/>
        <w:numPr>
          <w:ilvl w:val="0"/>
          <w:numId w:val="12"/>
        </w:numPr>
        <w:rPr>
          <w:sz w:val="24"/>
          <w:szCs w:val="24"/>
        </w:rPr>
      </w:pPr>
      <w:r w:rsidRPr="0028602F">
        <w:rPr>
          <w:sz w:val="24"/>
          <w:szCs w:val="24"/>
        </w:rPr>
        <w:t>Button</w:t>
      </w:r>
    </w:p>
    <w:p w:rsidR="00273AE7" w:rsidRPr="0028602F" w:rsidRDefault="00273AE7" w:rsidP="00273AE7">
      <w:pPr>
        <w:pStyle w:val="ListParagraph"/>
        <w:numPr>
          <w:ilvl w:val="0"/>
          <w:numId w:val="12"/>
        </w:numPr>
        <w:rPr>
          <w:sz w:val="24"/>
          <w:szCs w:val="24"/>
        </w:rPr>
      </w:pPr>
      <w:r w:rsidRPr="0028602F">
        <w:rPr>
          <w:sz w:val="24"/>
          <w:szCs w:val="24"/>
        </w:rPr>
        <w:t>Check Box</w:t>
      </w:r>
    </w:p>
    <w:p w:rsidR="00273AE7" w:rsidRPr="0028602F" w:rsidRDefault="00273AE7" w:rsidP="00273AE7">
      <w:pPr>
        <w:pStyle w:val="ListParagraph"/>
        <w:numPr>
          <w:ilvl w:val="0"/>
          <w:numId w:val="12"/>
        </w:numPr>
        <w:rPr>
          <w:sz w:val="24"/>
          <w:szCs w:val="24"/>
        </w:rPr>
      </w:pPr>
      <w:r w:rsidRPr="0028602F">
        <w:rPr>
          <w:sz w:val="24"/>
          <w:szCs w:val="24"/>
        </w:rPr>
        <w:t>Option Button</w:t>
      </w:r>
    </w:p>
    <w:p w:rsidR="00273AE7" w:rsidRPr="0028602F" w:rsidRDefault="00273AE7" w:rsidP="00273AE7">
      <w:pPr>
        <w:pStyle w:val="ListParagraph"/>
        <w:numPr>
          <w:ilvl w:val="0"/>
          <w:numId w:val="12"/>
        </w:numPr>
        <w:rPr>
          <w:sz w:val="24"/>
          <w:szCs w:val="24"/>
        </w:rPr>
      </w:pPr>
      <w:r w:rsidRPr="0028602F">
        <w:rPr>
          <w:sz w:val="24"/>
          <w:szCs w:val="24"/>
        </w:rPr>
        <w:t>Combo Box</w:t>
      </w:r>
    </w:p>
    <w:p w:rsidR="00273AE7" w:rsidRPr="0028602F" w:rsidRDefault="00273AE7" w:rsidP="00273AE7">
      <w:pPr>
        <w:pStyle w:val="ListParagraph"/>
        <w:numPr>
          <w:ilvl w:val="0"/>
          <w:numId w:val="12"/>
        </w:numPr>
        <w:rPr>
          <w:sz w:val="24"/>
          <w:szCs w:val="24"/>
        </w:rPr>
      </w:pPr>
      <w:r w:rsidRPr="0028602F">
        <w:rPr>
          <w:sz w:val="24"/>
          <w:szCs w:val="24"/>
        </w:rPr>
        <w:t>List Box</w:t>
      </w:r>
    </w:p>
    <w:p w:rsidR="00273AE7" w:rsidRPr="0028602F" w:rsidRDefault="00273AE7" w:rsidP="00273AE7">
      <w:pPr>
        <w:pStyle w:val="ListParagraph"/>
        <w:numPr>
          <w:ilvl w:val="0"/>
          <w:numId w:val="12"/>
        </w:numPr>
        <w:rPr>
          <w:sz w:val="24"/>
          <w:szCs w:val="24"/>
        </w:rPr>
      </w:pPr>
      <w:r w:rsidRPr="0028602F">
        <w:rPr>
          <w:sz w:val="24"/>
          <w:szCs w:val="24"/>
        </w:rPr>
        <w:t>Shape</w:t>
      </w:r>
    </w:p>
    <w:p w:rsidR="00273AE7" w:rsidRPr="0028602F" w:rsidRDefault="00273AE7" w:rsidP="00273AE7">
      <w:pPr>
        <w:pStyle w:val="ListParagraph"/>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all you have to do is the name it in the form of “</w:t>
      </w:r>
      <w:proofErr w:type="spellStart"/>
      <w:r w:rsidR="008F2005" w:rsidRPr="0028602F">
        <w:rPr>
          <w:sz w:val="24"/>
          <w:szCs w:val="24"/>
        </w:rPr>
        <w:t>ExcelMVC.Commad.Z</w:t>
      </w:r>
      <w:proofErr w:type="spellEnd"/>
      <w:r w:rsidR="008F2005" w:rsidRPr="0028602F">
        <w:rPr>
          <w:sz w:val="24"/>
          <w:szCs w:val="24"/>
        </w:rPr>
        <w:t>”, where Z is the actual command name. The picture below shows how the “Reset” button is named.</w:t>
      </w:r>
    </w:p>
    <w:p w:rsidR="008F2005" w:rsidRDefault="008F2005" w:rsidP="00273AE7">
      <w:r>
        <w:rPr>
          <w:noProof/>
          <w:lang w:eastAsia="en-AU"/>
        </w:rPr>
        <w:lastRenderedPageBreak/>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which are designed for use with VBA.</w:t>
      </w:r>
    </w:p>
    <w:p w:rsidR="008F2005" w:rsidRDefault="008F2005" w:rsidP="00273AE7"/>
    <w:p w:rsidR="008F2005" w:rsidRDefault="006B218F" w:rsidP="008F2005">
      <w:pPr>
        <w:pStyle w:val="Heading2"/>
        <w:rPr>
          <w:color w:val="2E74B5" w:themeColor="accent1" w:themeShade="BF"/>
        </w:rPr>
      </w:pPr>
      <w:r>
        <w:rPr>
          <w:color w:val="2E74B5" w:themeColor="accent1" w:themeShade="BF"/>
        </w:rPr>
        <w:t>Developing</w:t>
      </w:r>
      <w:r w:rsidR="0028602F">
        <w:rPr>
          <w:color w:val="2E74B5" w:themeColor="accent1" w:themeShade="BF"/>
        </w:rPr>
        <w:t xml:space="preserve"> </w:t>
      </w:r>
      <w:r w:rsidR="001576C8">
        <w:rPr>
          <w:color w:val="2E74B5" w:themeColor="accent1" w:themeShade="BF"/>
        </w:rPr>
        <w:t xml:space="preserve">ExcelMVC .NET </w:t>
      </w:r>
      <w:r>
        <w:rPr>
          <w:color w:val="2E74B5" w:themeColor="accent1" w:themeShade="BF"/>
        </w:rPr>
        <w:t>Assemblies</w:t>
      </w:r>
    </w:p>
    <w:p w:rsidR="0028602F" w:rsidRDefault="0028602F" w:rsidP="0028602F"/>
    <w:p w:rsidR="0028602F" w:rsidRPr="00393D58" w:rsidRDefault="0028602F" w:rsidP="0028602F">
      <w:pPr>
        <w:rPr>
          <w:sz w:val="24"/>
          <w:szCs w:val="24"/>
        </w:rPr>
      </w:pPr>
      <w:r w:rsidRPr="00393D58">
        <w:rPr>
          <w:sz w:val="24"/>
          <w:szCs w:val="24"/>
        </w:rPr>
        <w:t>An ExcelMVC applications typically requires three .NET projects: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Business model assemblies, which you will develop for any types of applications.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 xml:space="preserve">View model assemblies, which are used to bind your business objects to their </w:t>
      </w:r>
      <w:r w:rsidR="006B218F" w:rsidRPr="00393D58">
        <w:rPr>
          <w:sz w:val="24"/>
          <w:szCs w:val="24"/>
        </w:rPr>
        <w:t xml:space="preserve">views, </w:t>
      </w:r>
      <w:r w:rsidRPr="00393D58">
        <w:rPr>
          <w:sz w:val="24"/>
          <w:szCs w:val="24"/>
        </w:rPr>
        <w:t>e.g. Silverlight, WPF and indeed ExcelMVC.</w:t>
      </w:r>
    </w:p>
    <w:p w:rsidR="008F2005" w:rsidRPr="00393D58" w:rsidRDefault="006B218F" w:rsidP="00CC3347">
      <w:pPr>
        <w:pStyle w:val="ListParagraph"/>
        <w:numPr>
          <w:ilvl w:val="0"/>
          <w:numId w:val="13"/>
        </w:numPr>
        <w:spacing w:line="360" w:lineRule="auto"/>
        <w:ind w:left="357" w:hanging="357"/>
        <w:rPr>
          <w:sz w:val="24"/>
          <w:szCs w:val="24"/>
        </w:rPr>
      </w:pPr>
      <w:r w:rsidRPr="00393D58">
        <w:rPr>
          <w:sz w:val="24"/>
          <w:szCs w:val="24"/>
        </w:rPr>
        <w:t>An application assembly</w:t>
      </w:r>
      <w:r w:rsidR="008539D9" w:rsidRPr="00393D58">
        <w:rPr>
          <w:sz w:val="24"/>
          <w:szCs w:val="24"/>
        </w:rPr>
        <w:t xml:space="preserve"> (referencing ExcelMVC)</w:t>
      </w:r>
      <w:r w:rsidRPr="00393D58">
        <w:rPr>
          <w:sz w:val="24"/>
          <w:szCs w:val="24"/>
        </w:rPr>
        <w:t xml:space="preserve">, which glues </w:t>
      </w:r>
      <w:r w:rsidR="008539D9" w:rsidRPr="00393D58">
        <w:rPr>
          <w:sz w:val="24"/>
          <w:szCs w:val="24"/>
        </w:rPr>
        <w:t>an application’s view</w:t>
      </w:r>
      <w:r w:rsidRPr="00393D58">
        <w:rPr>
          <w:sz w:val="24"/>
          <w:szCs w:val="24"/>
        </w:rPr>
        <w:t xml:space="preserve"> models to </w:t>
      </w:r>
      <w:r w:rsidR="008539D9" w:rsidRPr="00393D58">
        <w:rPr>
          <w:sz w:val="24"/>
          <w:szCs w:val="24"/>
        </w:rPr>
        <w:t>their ExcelMVC views.</w:t>
      </w:r>
    </w:p>
    <w:p w:rsidR="008539D9" w:rsidRPr="00393D58" w:rsidRDefault="00393D58" w:rsidP="008539D9">
      <w:pPr>
        <w:rPr>
          <w:sz w:val="24"/>
          <w:szCs w:val="24"/>
        </w:rPr>
      </w:pPr>
      <w:r>
        <w:rPr>
          <w:sz w:val="24"/>
          <w:szCs w:val="24"/>
        </w:rPr>
        <w:t>Below w</w:t>
      </w:r>
      <w:r w:rsidR="0035531D" w:rsidRPr="00393D58">
        <w:rPr>
          <w:sz w:val="24"/>
          <w:szCs w:val="24"/>
        </w:rPr>
        <w:t xml:space="preserve">e walk through the steps required for creating the </w:t>
      </w:r>
      <w:r>
        <w:rPr>
          <w:sz w:val="24"/>
          <w:szCs w:val="24"/>
        </w:rPr>
        <w:t xml:space="preserve">FX spot trading .NET assemblies. But for simplicity, we will combine the three assemblies into one and use different namespaces to separate them. </w:t>
      </w:r>
    </w:p>
    <w:p w:rsidR="001576C8" w:rsidRDefault="00393D58" w:rsidP="00CC3347">
      <w:pPr>
        <w:pStyle w:val="ListParagraph"/>
        <w:numPr>
          <w:ilvl w:val="0"/>
          <w:numId w:val="14"/>
        </w:numPr>
        <w:spacing w:line="360" w:lineRule="auto"/>
        <w:ind w:left="357" w:hanging="357"/>
      </w:pPr>
      <w:r>
        <w:t>St</w:t>
      </w:r>
      <w:r w:rsidR="00AC37CB">
        <w:t>art Visual Studio 2013</w:t>
      </w:r>
      <w:r>
        <w:t>.</w:t>
      </w:r>
    </w:p>
    <w:p w:rsidR="00393D58" w:rsidRDefault="00393D58" w:rsidP="00CC3347">
      <w:pPr>
        <w:pStyle w:val="ListParagraph"/>
        <w:numPr>
          <w:ilvl w:val="0"/>
          <w:numId w:val="14"/>
        </w:numPr>
        <w:spacing w:line="360" w:lineRule="auto"/>
        <w:ind w:left="357" w:hanging="357"/>
      </w:pPr>
      <w:r>
        <w:t xml:space="preserve">Create a C# class library </w:t>
      </w:r>
      <w:r w:rsidR="00AC37CB">
        <w:t>project. Here we use the FX spot trading project as a sample.</w:t>
      </w:r>
    </w:p>
    <w:p w:rsidR="00393D58" w:rsidRDefault="00393D58" w:rsidP="00CC3347">
      <w:pPr>
        <w:pStyle w:val="ListParagraph"/>
        <w:numPr>
          <w:ilvl w:val="0"/>
          <w:numId w:val="14"/>
        </w:numPr>
        <w:spacing w:line="360" w:lineRule="auto"/>
        <w:ind w:left="357" w:hanging="357"/>
      </w:pPr>
      <w:r>
        <w:t>Add a</w:t>
      </w:r>
      <w:r w:rsidR="00CC3347">
        <w:t>n</w:t>
      </w:r>
      <w:r>
        <w:t xml:space="preserve"> </w:t>
      </w:r>
      <w:r w:rsidR="00AC37CB">
        <w:t>ExcelMVC</w:t>
      </w:r>
      <w:r w:rsidR="00AC37CB">
        <w:t xml:space="preserve"> </w:t>
      </w:r>
      <w:r>
        <w:t>reference to</w:t>
      </w:r>
      <w:r w:rsidR="00CC3347">
        <w:t xml:space="preserve"> the spot trading project</w:t>
      </w:r>
      <w:r w:rsidR="00AC37CB">
        <w:t>. The easiest way is to use NuGet Package Manager to install and update ExcelMVC. You will need NuGet Package Manager for Visual Studio 2013 installed through “Tools | Extensions and Updates”.  Make sure you have “nuget.org” as one of the package sources (see Tools | NuGet Package Manager | Package Manager Settings).</w:t>
      </w:r>
      <w:r w:rsidR="00CC3347">
        <w:t xml:space="preserve">  You can add the ExcelMVC.csproj under the source folder to your project as a referenced project.</w:t>
      </w:r>
    </w:p>
    <w:p w:rsidR="00AC37CB" w:rsidRDefault="00AC37CB" w:rsidP="00CC3347">
      <w:pPr>
        <w:pStyle w:val="ListParagraph"/>
        <w:numPr>
          <w:ilvl w:val="0"/>
          <w:numId w:val="14"/>
        </w:numPr>
        <w:spacing w:line="360" w:lineRule="auto"/>
        <w:ind w:left="357" w:hanging="357"/>
      </w:pPr>
    </w:p>
    <w:p w:rsidR="00AC37CB" w:rsidRDefault="00AC37CB" w:rsidP="00AC37CB">
      <w:r>
        <w:rPr>
          <w:noProof/>
          <w:lang w:eastAsia="en-AU"/>
        </w:rPr>
        <w:lastRenderedPageBreak/>
        <w:drawing>
          <wp:inline distT="0" distB="0" distL="0" distR="0" wp14:anchorId="5426B624" wp14:editId="13A754D2">
            <wp:extent cx="5731510" cy="33343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4385"/>
                    </a:xfrm>
                    <a:prstGeom prst="rect">
                      <a:avLst/>
                    </a:prstGeom>
                  </pic:spPr>
                </pic:pic>
              </a:graphicData>
            </a:graphic>
          </wp:inline>
        </w:drawing>
      </w:r>
    </w:p>
    <w:sectPr w:rsidR="00AC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6C"/>
    <w:rsid w:val="000A7418"/>
    <w:rsid w:val="000B38F0"/>
    <w:rsid w:val="000C501E"/>
    <w:rsid w:val="00120ECF"/>
    <w:rsid w:val="001576C8"/>
    <w:rsid w:val="001D245F"/>
    <w:rsid w:val="001E33BE"/>
    <w:rsid w:val="00243505"/>
    <w:rsid w:val="00271167"/>
    <w:rsid w:val="00273AE7"/>
    <w:rsid w:val="0028602F"/>
    <w:rsid w:val="002A33FB"/>
    <w:rsid w:val="002E1262"/>
    <w:rsid w:val="002E5D6C"/>
    <w:rsid w:val="0035531D"/>
    <w:rsid w:val="00393D58"/>
    <w:rsid w:val="003D014F"/>
    <w:rsid w:val="004C254E"/>
    <w:rsid w:val="004C30DE"/>
    <w:rsid w:val="004F6E07"/>
    <w:rsid w:val="0051071B"/>
    <w:rsid w:val="0054446F"/>
    <w:rsid w:val="00553186"/>
    <w:rsid w:val="005A1A40"/>
    <w:rsid w:val="005D4FCF"/>
    <w:rsid w:val="006B218F"/>
    <w:rsid w:val="006E1AFE"/>
    <w:rsid w:val="006E2A8C"/>
    <w:rsid w:val="00700B02"/>
    <w:rsid w:val="0074283D"/>
    <w:rsid w:val="00746E2A"/>
    <w:rsid w:val="00802A74"/>
    <w:rsid w:val="00814085"/>
    <w:rsid w:val="00847653"/>
    <w:rsid w:val="008539D9"/>
    <w:rsid w:val="0088250E"/>
    <w:rsid w:val="008A21C9"/>
    <w:rsid w:val="008D0DDC"/>
    <w:rsid w:val="008E326D"/>
    <w:rsid w:val="008F2005"/>
    <w:rsid w:val="00957BB8"/>
    <w:rsid w:val="00994FB3"/>
    <w:rsid w:val="009B5493"/>
    <w:rsid w:val="009C4A6C"/>
    <w:rsid w:val="009D61EE"/>
    <w:rsid w:val="00AB10A1"/>
    <w:rsid w:val="00AC37CB"/>
    <w:rsid w:val="00AC7FF9"/>
    <w:rsid w:val="00AF5BA5"/>
    <w:rsid w:val="00B0771C"/>
    <w:rsid w:val="00B57B0B"/>
    <w:rsid w:val="00B668BA"/>
    <w:rsid w:val="00B727DF"/>
    <w:rsid w:val="00B7674E"/>
    <w:rsid w:val="00B924B5"/>
    <w:rsid w:val="00C14198"/>
    <w:rsid w:val="00C23249"/>
    <w:rsid w:val="00C736D7"/>
    <w:rsid w:val="00C85043"/>
    <w:rsid w:val="00CC3347"/>
    <w:rsid w:val="00D007F2"/>
    <w:rsid w:val="00D25535"/>
    <w:rsid w:val="00D4277E"/>
    <w:rsid w:val="00D50EFD"/>
    <w:rsid w:val="00D97ED0"/>
    <w:rsid w:val="00DF3E34"/>
    <w:rsid w:val="00E02DEA"/>
    <w:rsid w:val="00E06FE1"/>
    <w:rsid w:val="00E62860"/>
    <w:rsid w:val="00E935FD"/>
    <w:rsid w:val="00EA479E"/>
    <w:rsid w:val="00EF47A3"/>
    <w:rsid w:val="00EF7B29"/>
    <w:rsid w:val="00F627B7"/>
    <w:rsid w:val="00F70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B570-60A4-4855-BCAA-7ABB461E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418"/>
  </w:style>
  <w:style w:type="paragraph" w:styleId="Heading1">
    <w:name w:val="heading 1"/>
    <w:basedOn w:val="Normal"/>
    <w:next w:val="Normal"/>
    <w:link w:val="Heading1Char"/>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A74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A74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A74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A74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A74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A74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A741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A7418"/>
    <w:pPr>
      <w:spacing w:line="240" w:lineRule="auto"/>
    </w:pPr>
    <w:rPr>
      <w:b/>
      <w:bCs/>
      <w:smallCaps/>
      <w:color w:val="595959" w:themeColor="text1" w:themeTint="A6"/>
    </w:rPr>
  </w:style>
  <w:style w:type="paragraph" w:styleId="Title">
    <w:name w:val="Title"/>
    <w:basedOn w:val="Normal"/>
    <w:next w:val="Normal"/>
    <w:link w:val="TitleChar"/>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74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7418"/>
    <w:rPr>
      <w:rFonts w:asciiTheme="majorHAnsi" w:eastAsiaTheme="majorEastAsia" w:hAnsiTheme="majorHAnsi" w:cstheme="majorBidi"/>
      <w:sz w:val="30"/>
      <w:szCs w:val="30"/>
    </w:rPr>
  </w:style>
  <w:style w:type="character" w:styleId="Strong">
    <w:name w:val="Strong"/>
    <w:basedOn w:val="DefaultParagraphFont"/>
    <w:uiPriority w:val="22"/>
    <w:qFormat/>
    <w:rsid w:val="000A7418"/>
    <w:rPr>
      <w:b/>
      <w:bCs/>
    </w:rPr>
  </w:style>
  <w:style w:type="character" w:styleId="Emphasis">
    <w:name w:val="Emphasis"/>
    <w:basedOn w:val="DefaultParagraphFont"/>
    <w:uiPriority w:val="20"/>
    <w:qFormat/>
    <w:rsid w:val="000A7418"/>
    <w:rPr>
      <w:i/>
      <w:iCs/>
      <w:color w:val="70AD47" w:themeColor="accent6"/>
    </w:rPr>
  </w:style>
  <w:style w:type="paragraph" w:styleId="NoSpacing">
    <w:name w:val="No Spacing"/>
    <w:uiPriority w:val="1"/>
    <w:qFormat/>
    <w:rsid w:val="000A7418"/>
    <w:pPr>
      <w:spacing w:after="0" w:line="240" w:lineRule="auto"/>
    </w:pPr>
  </w:style>
  <w:style w:type="paragraph" w:styleId="Quote">
    <w:name w:val="Quote"/>
    <w:basedOn w:val="Normal"/>
    <w:next w:val="Normal"/>
    <w:link w:val="QuoteChar"/>
    <w:uiPriority w:val="29"/>
    <w:qFormat/>
    <w:rsid w:val="000A74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7418"/>
    <w:rPr>
      <w:i/>
      <w:iCs/>
      <w:color w:val="262626" w:themeColor="text1" w:themeTint="D9"/>
    </w:rPr>
  </w:style>
  <w:style w:type="paragraph" w:styleId="IntenseQuote">
    <w:name w:val="Intense Quote"/>
    <w:basedOn w:val="Normal"/>
    <w:next w:val="Normal"/>
    <w:link w:val="IntenseQuoteChar"/>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A741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A7418"/>
    <w:rPr>
      <w:i/>
      <w:iCs/>
    </w:rPr>
  </w:style>
  <w:style w:type="character" w:styleId="IntenseEmphasis">
    <w:name w:val="Intense Emphasis"/>
    <w:basedOn w:val="DefaultParagraphFont"/>
    <w:uiPriority w:val="21"/>
    <w:qFormat/>
    <w:rsid w:val="000A7418"/>
    <w:rPr>
      <w:b/>
      <w:bCs/>
      <w:i/>
      <w:iCs/>
    </w:rPr>
  </w:style>
  <w:style w:type="character" w:styleId="SubtleReference">
    <w:name w:val="Subtle Reference"/>
    <w:basedOn w:val="DefaultParagraphFont"/>
    <w:uiPriority w:val="31"/>
    <w:qFormat/>
    <w:rsid w:val="000A7418"/>
    <w:rPr>
      <w:smallCaps/>
      <w:color w:val="595959" w:themeColor="text1" w:themeTint="A6"/>
    </w:rPr>
  </w:style>
  <w:style w:type="character" w:styleId="IntenseReference">
    <w:name w:val="Intense Reference"/>
    <w:basedOn w:val="DefaultParagraphFont"/>
    <w:uiPriority w:val="32"/>
    <w:qFormat/>
    <w:rsid w:val="000A7418"/>
    <w:rPr>
      <w:b/>
      <w:bCs/>
      <w:smallCaps/>
      <w:color w:val="70AD47" w:themeColor="accent6"/>
    </w:rPr>
  </w:style>
  <w:style w:type="character" w:styleId="BookTitle">
    <w:name w:val="Book Title"/>
    <w:basedOn w:val="DefaultParagraphFont"/>
    <w:uiPriority w:val="33"/>
    <w:qFormat/>
    <w:rsid w:val="000A7418"/>
    <w:rPr>
      <w:b/>
      <w:bCs/>
      <w:caps w:val="0"/>
      <w:smallCaps/>
      <w:spacing w:val="7"/>
      <w:sz w:val="21"/>
      <w:szCs w:val="21"/>
    </w:rPr>
  </w:style>
  <w:style w:type="paragraph" w:styleId="TOCHeading">
    <w:name w:val="TOC Heading"/>
    <w:basedOn w:val="Heading1"/>
    <w:next w:val="Normal"/>
    <w:uiPriority w:val="39"/>
    <w:semiHidden/>
    <w:unhideWhenUsed/>
    <w:qFormat/>
    <w:rsid w:val="000A7418"/>
    <w:pPr>
      <w:outlineLvl w:val="9"/>
    </w:pPr>
  </w:style>
  <w:style w:type="character" w:styleId="Hyperlink">
    <w:name w:val="Hyperlink"/>
    <w:basedOn w:val="DefaultParagraphFont"/>
    <w:uiPriority w:val="99"/>
    <w:unhideWhenUsed/>
    <w:rsid w:val="008D0DDC"/>
    <w:rPr>
      <w:color w:val="0563C1" w:themeColor="hyperlink"/>
      <w:u w:val="single"/>
    </w:rPr>
  </w:style>
  <w:style w:type="paragraph" w:styleId="ListParagraph">
    <w:name w:val="List Paragraph"/>
    <w:basedOn w:val="Normal"/>
    <w:uiPriority w:val="34"/>
    <w:qFormat/>
    <w:rsid w:val="002A33FB"/>
    <w:pPr>
      <w:ind w:left="720"/>
      <w:contextualSpacing/>
    </w:pPr>
  </w:style>
  <w:style w:type="character" w:styleId="FollowedHyperlink">
    <w:name w:val="FollowedHyperlink"/>
    <w:basedOn w:val="DefaultParagraphFont"/>
    <w:uiPriority w:val="99"/>
    <w:semiHidden/>
    <w:unhideWhenUsed/>
    <w:rsid w:val="00700B02"/>
    <w:rPr>
      <w:color w:val="954F72" w:themeColor="followedHyperlink"/>
      <w:u w:val="single"/>
    </w:rPr>
  </w:style>
  <w:style w:type="table" w:styleId="TableGrid">
    <w:name w:val="Table Grid"/>
    <w:basedOn w:val="TableNormal"/>
    <w:uiPriority w:val="39"/>
    <w:rsid w:val="003D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ourceforge.net/projects/excelmvc/files/latest/download/ExcelMVC.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odel_View_View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246C-7706-42A0-B331-8ED2B83F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peter gu</cp:lastModifiedBy>
  <cp:revision>50</cp:revision>
  <dcterms:created xsi:type="dcterms:W3CDTF">2014-06-21T22:39:00Z</dcterms:created>
  <dcterms:modified xsi:type="dcterms:W3CDTF">2014-06-22T11:36:00Z</dcterms:modified>
</cp:coreProperties>
</file>