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4E79"/>
          <w:sz w:val="56"/>
          <w:szCs w:val="56"/>
        </w:rPr>
        <w:t xml:space="preserve">Credit Card Fraud Detection</w:t>
      </w:r>
    </w:p>
    <w:p>
      <w:pPr>
        <w:spacing w:after="0" w:before="120"/>
        <w:jc w:val="center"/>
      </w:pPr>
      <w:r>
        <w:rPr>
          <w:i/>
          <w:iCs/>
          <w:color w:val="595959"/>
          <w:sz w:val="26"/>
          <w:szCs w:val="26"/>
        </w:rPr>
        <w:t xml:space="preserve">Detecting fraudulent transactions on a highly imbalanced dataset</w:t>
      </w:r>
    </w:p>
    <w:p>
      <w:pPr>
        <w:spacing w:after="0" w:before="600"/>
        <w:jc w:val="center"/>
      </w:pPr>
      <w:r>
        <w:rPr>
          <w:sz w:val="22"/>
          <w:szCs w:val="22"/>
        </w:rPr>
        <w:t xml:space="preserve">An end-to-end machine-learning case study</w:t>
      </w:r>
    </w:p>
    <w:p>
      <w:pPr>
        <w:spacing w:after="0" w:before="80"/>
        <w:jc w:val="center"/>
      </w:pPr>
      <w:r>
        <w:rPr>
          <w:color w:val="595959"/>
          <w:sz w:val="18"/>
          <w:szCs w:val="18"/>
        </w:rPr>
        <w:t xml:space="preserve">EDA  →  Feature Engineering  →  Model Comparison  →  Tuning  →  SHAP  →  Business Impact</w:t>
      </w:r>
    </w:p>
    <w:p>
      <w:pPr>
        <w:spacing w:after="0" w:before="900"/>
        <w:jc w:val="center"/>
      </w:pPr>
      <w:r>
        <w:rPr>
          <w:b/>
          <w:bCs/>
          <w:sz w:val="24"/>
          <w:szCs w:val="24"/>
        </w:rPr>
        <w:t xml:space="preserve">Muhammad Tahir Riaz</w:t>
      </w:r>
    </w:p>
    <w:p>
      <w:pPr>
        <w:spacing w:before="60"/>
        <w:jc w:val="center"/>
      </w:pPr>
      <w:r>
        <w:rPr>
          <w:color w:val="1F4E79"/>
          <w:sz w:val="18"/>
          <w:szCs w:val="18"/>
        </w:rPr>
        <w:t xml:space="preserve">github.com/triaz-malik/Machine-Learning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We built a fraud-detection system on 1.85 million card transactions where only </w:t>
      </w:r>
      <w:r>
        <w:rPr>
          <w:b/>
          <w:bCs/>
        </w:rPr>
        <w:t xml:space="preserve">0.58% are fraudulent</w:t>
      </w:r>
      <w:r>
        <w:t xml:space="preserve">. Because the data is so imbalanced, accuracy is meaningless — a model that predicts “never fraud” scores 99.4% accuracy while catching zero fraud. We therefore optimised </w:t>
      </w:r>
      <w:r>
        <w:rPr>
          <w:b/>
          <w:bCs/>
        </w:rPr>
        <w:t xml:space="preserve">recall, precision, and PR-AUC</w:t>
      </w:r>
      <w:r>
        <w:t xml:space="preserve"> instead.</w:t>
      </w:r>
    </w:p>
    <w:p>
      <w:pPr>
        <w:spacing w:after="120"/>
      </w:pPr>
      <w:r>
        <w:t xml:space="preserve">Moving from a linear baseline to a tuned XGBoost model lifted PR-AUC from </w:t>
      </w:r>
      <w:r>
        <w:rPr>
          <w:b/>
          <w:bCs/>
          <w:color w:val="C44E52"/>
        </w:rPr>
        <w:t xml:space="preserve">0.18 to 0.88</w:t>
      </w:r>
      <w:r>
        <w:t xml:space="preserve">. At a business-chosen operating point the model catches </w:t>
      </w:r>
      <w:r>
        <w:rPr>
          <w:b/>
          <w:bCs/>
        </w:rPr>
        <w:t xml:space="preserve">90% of fraud while flagging only 0.35% of legitimate transactions</w:t>
      </w:r>
      <w:r>
        <w:t xml:space="preserve"> for review — turning roughly 5,800 caught frauds (baseline) into ~9,000 per 10,000 fraud cases.</w:t>
      </w:r>
    </w:p>
    <w:p>
      <w:pPr>
        <w:pStyle w:val="Heading1"/>
      </w:pPr>
      <w:r>
        <w:t xml:space="preserve">1. Business Problem</w:t>
      </w:r>
    </w:p>
    <w:p>
      <w:pPr>
        <w:spacing w:after="120"/>
      </w:pPr>
      <w:r>
        <w:t xml:space="preserve">Banks must decide, in real time, whether to approve or block each card transaction. Fraud is rare but expensive, and the cost structure is asymmetric: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Missed fraud (false negative): </w:t>
      </w:r>
      <w:r>
        <w:t xml:space="preserve">direct financial loss and chargebacks.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False alarm (false positive): </w:t>
      </w:r>
      <w:r>
        <w:t xml:space="preserve">manual-review cost and customer friction.</w:t>
      </w:r>
    </w:p>
    <w:p>
      <w:pPr>
        <w:spacing w:after="120"/>
      </w:pPr>
      <w:r>
        <w:t xml:space="preserve">The objective is to maximise the share of fraud caught (recall) while keeping false alarms low enough that the review team can cope (precision).</w:t>
      </w:r>
    </w:p>
    <w:p>
      <w:pPr>
        <w:pStyle w:val="Heading1"/>
      </w:pPr>
      <w:r>
        <w:t xml:space="preserve">2. The Input Data</w:t>
      </w:r>
    </w:p>
    <w:p>
      <w:pPr>
        <w:spacing w:after="120"/>
      </w:pPr>
      <w:r>
        <w:rPr>
          <w:b/>
          <w:bCs/>
        </w:rPr>
        <w:t xml:space="preserve">Dataset: </w:t>
      </w:r>
      <w:r>
        <w:t xml:space="preserve">Simulated credit-card transactions (Sparkov). Pre-split into train and test files.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Split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Transactions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Fraud (rate)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1,296,675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7,506  (0.579%)</w:t>
            </w:r>
          </w:p>
        </w:tc>
      </w:tr>
      <w:t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(held-out)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555,719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2,145  (0.386%)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3143250" cy="2514600"/>
            <wp:effectExtent t="0" r="0" b="0" l="0"/>
            <wp:docPr id="1" name="01_class_imbalance.png" descr="01_class_imbalance.png" title="01_class_imbal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1 — Extreme class imbalance: fraud is 0.58% of all transactions (log scale).</w:t>
      </w:r>
    </w:p>
    <w:p>
      <w:pPr>
        <w:pStyle w:val="Heading2"/>
      </w:pPr>
      <w:r>
        <w:t xml:space="preserve">Features used by the model</w:t>
      </w:r>
    </w:p>
    <w:p>
      <w:pPr>
        <w:spacing w:after="120"/>
      </w:pPr>
      <w:r>
        <w:t xml:space="preserve">From the raw columns we engineered 23 features. PII and identifiers were dropped to prevent the model memorising individuals, and leakage / non-predictive columns were removed.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Feature group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Details / rationale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Amount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amt and log_amt — the single strongest signal.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 of day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hour and is_night (22:00–03:59), where fraud concentrates.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Calendar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day_of_week, is_weekend.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Demographic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 (from dob), gender, log city population.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Merchant category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 categories, one-hot encoded.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Dropped — PII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first, last, street, trans_num, raw cc_num.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Dropped — leakage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unix_time (duplicates timestamp).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Dropped — no signal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home–merchant distance (both classes ~76 km; verified, not assumed).</w:t>
            </w:r>
          </w:p>
        </w:tc>
      </w:tr>
    </w:tbl>
    <w:p>
      <w:pPr>
        <w:pStyle w:val="Heading1"/>
      </w:pPr>
      <w:r>
        <w:t xml:space="preserve">3. Exploratory Findings</w:t>
      </w:r>
    </w:p>
    <w:p>
      <w:pPr>
        <w:spacing w:after="120"/>
      </w:pPr>
      <w:r>
        <w:t xml:space="preserve">Profiling the full training set surfaced three dominant fraud signals, later confirmed by the model.</w:t>
      </w:r>
    </w:p>
    <w:p>
      <w:pPr>
        <w:spacing w:after="60" w:before="120"/>
        <w:jc w:val="center"/>
      </w:pPr>
      <w:r>
        <w:drawing>
          <wp:inline distT="0" distB="0" distL="0" distR="0">
            <wp:extent cx="4476750" cy="2552700"/>
            <wp:effectExtent t="0" r="0" b="0" l="0"/>
            <wp:docPr id="1" name="02_amount_by_class.png" descr="02_amount_by_class.png" title="02_amount_by_cl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2 — Fraud transactions skew to far higher amounts (mean $531 vs $68).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371725"/>
            <wp:effectExtent t="0" r="0" b="0" l="0"/>
            <wp:docPr id="1" name="03_fraud_by_hour.png" descr="03_fraud_by_hour.png" title="03_fraud_by_hou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3 — Fraud is a night-time phenomenon: rates spike 22:00–03:59, up to ~25× daytime.</w:t>
      </w:r>
    </w:p>
    <w:p>
      <w:pPr>
        <w:spacing w:after="60" w:before="120"/>
        <w:jc w:val="center"/>
      </w:pPr>
      <w:r>
        <w:drawing>
          <wp:inline distT="0" distB="0" distL="0" distR="0">
            <wp:extent cx="4191000" cy="2619375"/>
            <wp:effectExtent t="0" r="0" b="0" l="0"/>
            <wp:docPr id="1" name="04_fraud_by_category.png" descr="04_fraud_by_category.png" title="04_fraud_by_categ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4 — Online categories (shopping_net, misc_net) carry the highest fraud rates.</w:t>
      </w:r>
    </w:p>
    <w:p>
      <w:pPr>
        <w:pStyle w:val="Heading1"/>
        <w:pageBreakBefore/>
      </w:pPr>
      <w:r>
        <w:t xml:space="preserve">4. Models</w:t>
      </w:r>
    </w:p>
    <w:p>
      <w:pPr>
        <w:spacing w:after="120"/>
      </w:pPr>
      <w:r>
        <w:t xml:space="preserve">We trained an explainable baseline, then progressively stronger models — each evaluated on the same held-out test set with the same metrics. Imbalance was handled with class weights (LogReg, RandomForest) and scale_pos_weight (XGBoost).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280"/>
        <w:gridCol w:w="1280"/>
        <w:gridCol w:w="1280"/>
        <w:gridCol w:w="1280"/>
        <w:gridCol w:w="1280"/>
      </w:tblGrid>
      <w:tr>
        <w:trPr>
          <w:tblHeader/>
        </w:trP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PR-AUC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ROC-AUC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Logistic Regression (baseline)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0.184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0.964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0.29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0.58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0.38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Random Forest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0.872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0.997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0.75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0.81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XGBoost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0.873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0.998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0.76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0.83</w:t>
            </w:r>
          </w:p>
        </w:tc>
      </w:tr>
      <w:tr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XGBoost (tuned)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0.880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0.998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0.90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0.90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CE4E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Recall for the tuned model is at the business threshold (Section 6); others at best-F1.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2514600"/>
            <wp:effectExtent t="0" r="0" b="0" l="0"/>
            <wp:docPr id="1" name="08_pr_auc_bars.png" descr="08_pr_auc_bars.png" title="08_pr_auc_ba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5 — PR-AUC leaps 0.18 → 0.87 moving from linear to tree models.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3000375"/>
            <wp:effectExtent t="0" r="0" b="0" l="0"/>
            <wp:docPr id="1" name="07_model_comparison_pr.png" descr="07_model_comparison_pr.png" title="07_model_comparison_p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6 — Precision-recall curves: tree models dominate across the whole range.</w:t>
      </w:r>
    </w:p>
    <w:p>
      <w:pPr>
        <w:spacing w:after="120"/>
      </w:pPr>
      <w:r>
        <w:rPr>
          <w:b/>
          <w:bCs/>
        </w:rPr>
        <w:t xml:space="preserve">Why trees win: </w:t>
      </w:r>
      <w:r>
        <w:t xml:space="preserve">fraud lives in interactions — high amount AND night AND an online category. A linear model cannot represent these; gradient-boosted trees can.</w:t>
      </w:r>
    </w:p>
    <w:p>
      <w:pPr>
        <w:spacing w:after="120"/>
      </w:pPr>
      <w:r>
        <w:rPr>
          <w:b/>
          <w:bCs/>
        </w:rPr>
        <w:t xml:space="preserve">Tuning: </w:t>
      </w:r>
      <w:r>
        <w:t xml:space="preserve">a PR-AUC-scored RandomizedSearchCV selected max_depth=6, learning_rate=0.05, n_estimators=600, subsample=0.7, gamma=1 (CV PR-AUC 0.90).</w:t>
      </w:r>
    </w:p>
    <w:p>
      <w:pPr>
        <w:pStyle w:val="Heading1"/>
      </w:pPr>
      <w:r>
        <w:t xml:space="preserve">5. Explainability (SHAP)</w:t>
      </w:r>
    </w:p>
    <w:p>
      <w:pPr>
        <w:spacing w:after="120"/>
      </w:pPr>
      <w:r>
        <w:t xml:space="preserve">The model is auditable, not a black box. SHAP confirms the EDA story: amount and night-time dominate, followed by hour and online categories.</w:t>
      </w:r>
    </w:p>
    <w:p>
      <w:pPr>
        <w:spacing w:after="60" w:before="120"/>
        <w:jc w:val="center"/>
      </w:pPr>
      <w:r>
        <w:drawing>
          <wp:inline distT="0" distB="0" distL="0" distR="0">
            <wp:extent cx="4095750" cy="3943350"/>
            <wp:effectExtent t="0" r="0" b="0" l="0"/>
            <wp:docPr id="1" name="09_shap_beeswarm.png" descr="09_shap_beeswarm.png" title="09_shap_beeswa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7 — Global SHAP: log_amt and is_night are the top drivers of fraud probability.</w:t>
      </w:r>
    </w:p>
    <w:p>
      <w:pPr>
        <w:spacing w:after="60" w:before="120"/>
        <w:jc w:val="center"/>
      </w:pPr>
      <w:r>
        <w:drawing>
          <wp:inline distT="0" distB="0" distL="0" distR="0">
            <wp:extent cx="4286250" cy="3981450"/>
            <wp:effectExtent t="0" r="0" b="0" l="0"/>
            <wp:docPr id="1" name="10_shap_waterfall.png" descr="10_shap_waterfall.png" title="10_shap_waterfa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Figure 8 — Local SHAP: why one specific transaction was flagged as fraud.</w:t>
      </w:r>
    </w:p>
    <w:p>
      <w:pPr>
        <w:pStyle w:val="Heading1"/>
      </w:pPr>
      <w:r>
        <w:t xml:space="preserve">6. Business Value</w:t>
      </w:r>
    </w:p>
    <w:p>
      <w:pPr>
        <w:spacing w:after="120"/>
      </w:pPr>
      <w:r>
        <w:t xml:space="preserve">Bank policy: catch at least 90% of fraud. We pick the highest-precision probability threshold that meets that recall (threshold = 0.80) and read off the operational trade-off on the held-out test 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rPr>
          <w:tblHeader/>
        </w:trP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Outcome at the 90%-recall threshold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Frauds caught (true positives)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1,931 of 2,145  —  90.0%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Frauds missed (false negatives)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214  —  10.0%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False alarms sent to review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1,910 of 553,574 legit  —  0.35%</w:t>
            </w:r>
          </w:p>
        </w:tc>
      </w:tr>
      <w:tr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Precision (flags that are real fraud)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50.3%</w:t>
            </w:r>
          </w:p>
        </w:tc>
      </w:tr>
    </w:tbl>
    <w:p>
      <w:pPr>
        <w:spacing w:after="4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Translated to scale — per 10,000 fraud cases: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Baseline Logistic Regression (58% recall): catches ~5,840, </w:t>
      </w:r>
      <w:r>
        <w:rPr>
          <w:color w:val="C44E52"/>
        </w:rPr>
        <w:t xml:space="preserve">misses ~4,160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Tuned XGBoost (90% recall): catches ~9,000, </w:t>
      </w:r>
      <w:r>
        <w:rPr>
          <w:color w:val="C44E52"/>
        </w:rPr>
        <w:t xml:space="preserve">misses ~1,000</w:t>
      </w:r>
    </w:p>
    <w:p>
      <w:pPr>
        <w:spacing w:after="120"/>
      </w:pPr>
      <w:r>
        <w:rPr>
          <w:b/>
          <w:bCs/>
        </w:rPr>
        <w:t xml:space="preserve">Net impact: </w:t>
      </w:r>
      <w:r>
        <w:t xml:space="preserve">missed fraud falls by ~75%, while only 0.35% of legitimate customers experience a review — a strong recall gain at a manageable false-alarm cost.</w:t>
      </w:r>
    </w:p>
    <w:p>
      <w:pPr>
        <w:pStyle w:val="Heading1"/>
      </w:pPr>
      <w:r>
        <w:t xml:space="preserve">7. Conclusion &amp; Reproducibility</w:t>
      </w:r>
    </w:p>
    <w:p>
      <w:pPr>
        <w:spacing w:after="120"/>
      </w:pPr>
      <w:r>
        <w:t xml:space="preserve">The project demonstrates the full lifecycle: grounded EDA, leak-safe feature engineering, an iterative model ladder evaluated with the right metrics, hyperparameter tuning, SHAP explainability, and a business-driven operating point.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Notebooks: </w:t>
      </w:r>
      <w:r>
        <w:t xml:space="preserve">01 EDA • 02 features + baseline • 03 model comparison • 04 tuning + SHAP + threshold.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Reusable code: </w:t>
      </w:r>
      <w:r>
        <w:t xml:space="preserve">src/features.py (leak-safe feature pipeline).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Repository: </w:t>
      </w:r>
      <w:r>
        <w:rPr>
          <w:color w:val="1F4E79"/>
        </w:rPr>
        <w:t xml:space="preserve">github.com/triaz-malik/Machine-Learning</w:t>
      </w:r>
    </w:p>
    <w:p>
      <w:pPr>
        <w:spacing w:after="120"/>
      </w:pPr>
      <w:r>
        <w:rPr>
          <w:b/>
          <w:bCs/>
          <w:color w:val="595959"/>
        </w:rPr>
        <w:t xml:space="preserve">Note: </w:t>
      </w:r>
      <w:r>
        <w:rPr>
          <w:color w:val="595959"/>
          <w:sz w:val="18"/>
          <w:szCs w:val="18"/>
        </w:rPr>
        <w:t xml:space="preserve">the raw CSVs (~500 MB) are not committed; download from the Kaggle “Credit Card Transactions Fraud Detection” dataset to reproduce.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Credit Card Fraud Detection  •  Muhammad Tahir Riaz  •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40" w:before="28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5d5cd9c8dafadd6bb6b96fa3af61dc793b82233.png"/><Relationship Id="rId9" Type="http://schemas.openxmlformats.org/officeDocument/2006/relationships/image" Target="media/644799e3db31245191217afe040011be8c6606c9.png"/><Relationship Id="rId10" Type="http://schemas.openxmlformats.org/officeDocument/2006/relationships/image" Target="media/8b94b7e067d06de5279c498abc7ff2b376df46d4.png"/><Relationship Id="rId11" Type="http://schemas.openxmlformats.org/officeDocument/2006/relationships/image" Target="media/965018a3b796a0b27b217b379525605e2ff1461f.png"/><Relationship Id="rId12" Type="http://schemas.openxmlformats.org/officeDocument/2006/relationships/image" Target="media/68ceb8823ad6abc36eccd59937f83a9768a7df33.png"/><Relationship Id="rId13" Type="http://schemas.openxmlformats.org/officeDocument/2006/relationships/image" Target="media/c669c56113a955f083c42df7c0880d8d8fc9dd52.png"/><Relationship Id="rId14" Type="http://schemas.openxmlformats.org/officeDocument/2006/relationships/image" Target="media/e82bc57c12c1141c0c93a4f9633ffe7a13eeca19.png"/><Relationship Id="rId15" Type="http://schemas.openxmlformats.org/officeDocument/2006/relationships/image" Target="media/4fbb72cd45727ad02f83bbd80ae22f0e1eb53d4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Card Fraud Detection</dc:title>
  <dc:creator>Muhammad Tahir Riaz</dc:creator>
  <cp:lastModifiedBy>Un-named</cp:lastModifiedBy>
  <cp:revision>1</cp:revision>
  <dcterms:created xsi:type="dcterms:W3CDTF">2026-06-06T12:50:37.212Z</dcterms:created>
  <dcterms:modified xsi:type="dcterms:W3CDTF">2026-06-06T12:50:37.212Z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