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b/>
          <w:bCs/>
          <w:color w:val="1A4D7A"/>
          <w:sz w:val="48"/>
          <w:szCs w:val="48"/>
        </w:rPr>
        <w:t xml:space="preserve">Telecom Customer Segmentation</w:t>
      </w:r>
    </w:p>
    <w:p>
      <w:pPr>
        <w:jc w:val="center"/>
      </w:pPr>
      <w:r>
        <w:rPr>
          <w:b/>
          <w:bCs/>
          <w:color w:val="1A4D7A"/>
          <w:sz w:val="48"/>
          <w:szCs w:val="48"/>
        </w:rPr>
        <w:t xml:space="preserve">&amp; Package Recommendation System</w:t>
      </w:r>
    </w:p>
    <w:p>
      <w:pPr>
        <w:spacing w:before="200"/>
        <w:jc w:val="center"/>
      </w:pPr>
      <w:r>
        <w:rPr>
          <w:color w:val="555555"/>
          <w:sz w:val="26"/>
          <w:szCs w:val="26"/>
        </w:rPr>
        <w:t xml:space="preserve">Business Report — Methodology, Results &amp; Value</w:t>
      </w:r>
    </w:p>
    <w:p>
      <w:pPr>
        <w:spacing w:before="600"/>
        <w:jc w:val="center"/>
      </w:pPr>
      <w:r>
        <w:rPr>
          <w:sz w:val="21"/>
          <w:szCs w:val="21"/>
        </w:rPr>
        <w:t xml:space="preserve">Dataset: Orange / BigML Telecom Churn — 3,333 subscribers  •  Overall churn rate 14.5%</w:t>
      </w:r>
    </w:p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120"/>
        <w:jc w:val="both"/>
      </w:pPr>
      <w:r>
        <w:t xml:space="preserve">This project turns a raw telecom subscriber table into an actionable customer-intelligence system. We profiled 3,333 customers, engineered value and usage features, grouped customers into five business segments, built a recommendation engine that suggests a better package for each subscriber, and trained a churn-prediction model that flags at-risk customers before they leave — with an explainability layer that shows </w:t>
      </w:r>
      <w:r>
        <w:rPr>
          <w:i/>
          <w:iCs/>
        </w:rPr>
        <w:t xml:space="preserve">why</w:t>
      </w:r>
      <w:r>
        <w:t xml:space="preserve"> each prediction is made.</w:t>
      </w:r>
    </w:p>
    <w:p>
      <w:pPr>
        <w:pStyle w:val="Heading2"/>
      </w:pPr>
      <w:r>
        <w:t xml:space="preserve">Headline results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Churn prediction: </w:t>
      </w:r>
      <w:r>
        <w:t xml:space="preserve">XGBoost achieves </w:t>
      </w:r>
      <w:r>
        <w:rPr>
          <w:b/>
          <w:bCs/>
        </w:rPr>
        <w:t xml:space="preserve">0.924 ROC-AUC</w:t>
      </w:r>
      <w:r>
        <w:t xml:space="preserve"> and </w:t>
      </w:r>
      <w:r>
        <w:rPr>
          <w:b/>
          <w:bCs/>
        </w:rPr>
        <w:t xml:space="preserve">87% recall</w:t>
      </w:r>
      <w:r>
        <w:t xml:space="preserve"> on churners (holdout test) — most leavers are caught.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Segmentation: </w:t>
      </w:r>
      <w:r>
        <w:t xml:space="preserve">five clear segments; the </w:t>
      </w:r>
      <w:r>
        <w:rPr>
          <w:b/>
          <w:bCs/>
        </w:rPr>
        <w:t xml:space="preserve">High Risk</w:t>
      </w:r>
      <w:r>
        <w:t xml:space="preserve"> segment (728 customers) churns at </w:t>
      </w:r>
      <w:r>
        <w:rPr>
          <w:b/>
          <w:bCs/>
        </w:rPr>
        <w:t xml:space="preserve">32%</w:t>
      </w:r>
      <w:r>
        <w:t xml:space="preserve"> while paying the </w:t>
      </w:r>
      <w:r>
        <w:rPr>
          <w:b/>
          <w:bCs/>
        </w:rPr>
        <w:t xml:space="preserve">highest bills</w:t>
      </w:r>
      <w:r>
        <w:t xml:space="preserve"> ($72.80 avg) — the priority retention target.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Recommendations: </w:t>
      </w:r>
      <w:r>
        <w:t xml:space="preserve">a cross-sell / upsell opportunity is flagged for </w:t>
      </w:r>
      <w:r>
        <w:rPr>
          <w:b/>
          <w:bCs/>
        </w:rPr>
        <w:t xml:space="preserve">~40%</w:t>
      </w:r>
      <w:r>
        <w:t xml:space="preserve"> of subscribers.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Top churn drivers</w:t>
      </w:r>
      <w:r>
        <w:t xml:space="preserve"> (SHAP): total charges, voicemail plan, international calls, and customer-service calls.</w:t>
      </w:r>
    </w:p>
    <w:p>
      <w:pPr>
        <w:pStyle w:val="Heading1"/>
      </w:pPr>
      <w:r>
        <w:t xml:space="preserve">2. What Was Done</w:t>
      </w:r>
    </w:p>
    <w:p>
      <w:pPr>
        <w:spacing w:after="120"/>
        <w:jc w:val="both"/>
      </w:pPr>
      <w:r>
        <w:t xml:space="preserve">The work is organised as a reproducible 7-phase pipeline: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500"/>
        <w:gridCol w:w="2960"/>
      </w:tblGrid>
      <w:tr>
        <w:trPr>
          <w:tblHeader/>
        </w:trPr>
        <w:tc>
          <w:tcPr>
            <w:tcW w:type="dxa" w:w="1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4D7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4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4D7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Activity</w:t>
            </w:r>
          </w:p>
        </w:tc>
        <w:tc>
          <w:tcPr>
            <w:tcW w:type="dxa" w:w="2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4D7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</w:tr>
      <w:tr>
        <w:tc>
          <w:tcPr>
            <w:tcW w:type="dxa" w:w="1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 EDA</w:t>
            </w:r>
          </w:p>
        </w:tc>
        <w:tc>
          <w:tcPr>
            <w:tcW w:type="dxa" w:w="4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Distributions, correlations, churn boxplots</w:t>
            </w:r>
          </w:p>
        </w:tc>
        <w:tc>
          <w:tcPr>
            <w:tcW w:type="dxa" w:w="2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 charts + insights</w:t>
            </w:r>
          </w:p>
        </w:tc>
      </w:tr>
      <w:tr>
        <w:tc>
          <w:tcPr>
            <w:tcW w:type="dxa" w:w="1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2. Feature Engineering</w:t>
            </w:r>
          </w:p>
        </w:tc>
        <w:tc>
          <w:tcPr>
            <w:tcW w:type="dxa" w:w="4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Total usage/charges, intl ratio, value score, segments</w:t>
            </w:r>
          </w:p>
        </w:tc>
        <w:tc>
          <w:tcPr>
            <w:tcW w:type="dxa" w:w="2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Enriched dataset</w:t>
            </w:r>
          </w:p>
        </w:tc>
      </w:tr>
      <w:tr>
        <w:tc>
          <w:tcPr>
            <w:tcW w:type="dxa" w:w="1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3. Segmentation</w:t>
            </w:r>
          </w:p>
        </w:tc>
        <w:tc>
          <w:tcPr>
            <w:tcW w:type="dxa" w:w="4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K-Means + DBSCAN, profiled &amp; named clusters</w:t>
            </w:r>
          </w:p>
        </w:tc>
        <w:tc>
          <w:tcPr>
            <w:tcW w:type="dxa" w:w="2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 business segments</w:t>
            </w:r>
          </w:p>
        </w:tc>
      </w:tr>
      <w:tr>
        <w:tc>
          <w:tcPr>
            <w:tcW w:type="dxa" w:w="1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4. Recommendation</w:t>
            </w:r>
          </w:p>
        </w:tc>
        <w:tc>
          <w:tcPr>
            <w:tcW w:type="dxa" w:w="4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KNN — 5 most-similar customers per subscriber</w:t>
            </w:r>
          </w:p>
        </w:tc>
        <w:tc>
          <w:tcPr>
            <w:tcW w:type="dxa" w:w="2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Package per customer</w:t>
            </w:r>
          </w:p>
        </w:tc>
      </w:tr>
      <w:tr>
        <w:tc>
          <w:tcPr>
            <w:tcW w:type="dxa" w:w="1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5. Churn Prediction</w:t>
            </w:r>
          </w:p>
        </w:tc>
        <w:tc>
          <w:tcPr>
            <w:tcW w:type="dxa" w:w="4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KNN / RF / XGBoost + SMOTE + tuned CV</w:t>
            </w:r>
          </w:p>
        </w:tc>
        <w:tc>
          <w:tcPr>
            <w:tcW w:type="dxa" w:w="2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Best model (XGBoost)</w:t>
            </w:r>
          </w:p>
        </w:tc>
      </w:tr>
      <w:tr>
        <w:tc>
          <w:tcPr>
            <w:tcW w:type="dxa" w:w="1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6. Explainability</w:t>
            </w:r>
          </w:p>
        </w:tc>
        <w:tc>
          <w:tcPr>
            <w:tcW w:type="dxa" w:w="4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SHAP on the tuned model</w:t>
            </w:r>
          </w:p>
        </w:tc>
        <w:tc>
          <w:tcPr>
            <w:tcW w:type="dxa" w:w="2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Ranked churn drivers</w:t>
            </w:r>
          </w:p>
        </w:tc>
      </w:tr>
      <w:tr>
        <w:tc>
          <w:tcPr>
            <w:tcW w:type="dxa" w:w="1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7. Business Value</w:t>
            </w:r>
          </w:p>
        </w:tc>
        <w:tc>
          <w:tcPr>
            <w:tcW w:type="dxa" w:w="4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Translate analytics into operator actions</w:t>
            </w:r>
          </w:p>
        </w:tc>
        <w:tc>
          <w:tcPr>
            <w:tcW w:type="dxa" w:w="2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This report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Key Findings (EDA)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Heavy users</w:t>
      </w:r>
      <w:r>
        <w:t xml:space="preserve"> (top 10% by minutes) churn </w:t>
      </w:r>
      <w:r>
        <w:rPr>
          <w:b/>
          <w:bCs/>
        </w:rPr>
        <w:t xml:space="preserve">47%</w:t>
      </w:r>
      <w:r>
        <w:t xml:space="preserve"> vs 14.5% overall.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Top payers</w:t>
      </w:r>
      <w:r>
        <w:t xml:space="preserve"> (top 10% by charges) churn </w:t>
      </w:r>
      <w:r>
        <w:rPr>
          <w:b/>
          <w:bCs/>
        </w:rPr>
        <w:t xml:space="preserve">63%</w:t>
      </w:r>
      <w:r>
        <w:t xml:space="preserve"> — the most valuable customers are the most likely to leave.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Customers with </w:t>
      </w:r>
      <w:r>
        <w:rPr>
          <w:b/>
          <w:bCs/>
        </w:rPr>
        <w:t xml:space="preserve">≥4 service calls</w:t>
      </w:r>
      <w:r>
        <w:t xml:space="preserve"> churn </w:t>
      </w:r>
      <w:r>
        <w:rPr>
          <w:b/>
          <w:bCs/>
        </w:rPr>
        <w:t xml:space="preserve">52%</w:t>
      </w:r>
      <w:r>
        <w:t xml:space="preserve"> — a clear distress signal.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International-plan</w:t>
      </w:r>
      <w:r>
        <w:t xml:space="preserve"> holders churn </w:t>
      </w:r>
      <w:r>
        <w:rPr>
          <w:b/>
          <w:bCs/>
        </w:rPr>
        <w:t xml:space="preserve">42%</w:t>
      </w:r>
      <w:r>
        <w:t xml:space="preserve"> vs 11.5% without.</w:t>
      </w:r>
    </w:p>
    <w:p>
      <w:pPr>
        <w:spacing w:after="40" w:before="80"/>
        <w:jc w:val="center"/>
      </w:pPr>
      <w:r>
        <w:drawing>
          <wp:inline distT="0" distB="0" distL="0" distR="0">
            <wp:extent cx="2857500" cy="1876425"/>
            <wp:effectExtent t="0" r="0" b="0" l="0"/>
            <wp:docPr id="1" name="01_churn_distribution" descr="01_churn_distribution" title="01_churn_distribu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7"/>
          <w:szCs w:val="17"/>
        </w:rPr>
        <w:t xml:space="preserve">Churn distribution (14.5% of customers churn)</w:t>
      </w:r>
    </w:p>
    <w:p>
      <w:pPr>
        <w:spacing w:after="40" w:before="80"/>
        <w:jc w:val="center"/>
      </w:pPr>
      <w:r>
        <w:drawing>
          <wp:inline distT="0" distB="0" distL="0" distR="0">
            <wp:extent cx="3429000" cy="1924050"/>
            <wp:effectExtent t="0" r="0" b="0" l="0"/>
            <wp:docPr id="1" name="05_customer_service_calls_distribution" descr="05_customer_service_calls_distribution" title="05_customer_service_calls_distribu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7"/>
          <w:szCs w:val="17"/>
        </w:rPr>
        <w:t xml:space="preserve">Churn rises sharply with the number of customer-service calls</w:t>
      </w:r>
    </w:p>
    <w:p>
      <w:pPr>
        <w:spacing w:after="40" w:before="80"/>
        <w:jc w:val="center"/>
      </w:pPr>
      <w:r>
        <w:drawing>
          <wp:inline distT="0" distB="0" distL="0" distR="0">
            <wp:extent cx="5143500" cy="3067050"/>
            <wp:effectExtent t="0" r="0" b="0" l="0"/>
            <wp:docPr id="1" name="07_boxplots_churn_vs_retained" descr="07_boxplots_churn_vs_retained" title="07_boxplots_churn_vs_retai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7"/>
          <w:szCs w:val="17"/>
        </w:rPr>
        <w:t xml:space="preserve">Churned vs retained customers across key features</w:t>
      </w:r>
    </w:p>
    <w:p>
      <w:r>
        <w:br w:type="page"/>
      </w:r>
    </w:p>
    <w:p>
      <w:pPr>
        <w:pStyle w:val="Heading1"/>
      </w:pPr>
      <w:r>
        <w:t xml:space="preserve">4. Customer Segments</w:t>
      </w:r>
    </w:p>
    <w:p>
      <w:pPr>
        <w:spacing w:after="120"/>
        <w:jc w:val="both"/>
      </w:pPr>
      <w:r>
        <w:t xml:space="preserve">K-Means (with a DBSCAN cross-check) groups customers into five segments, each mapped to a business profile: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90"/>
        <w:gridCol w:w="1690"/>
        <w:gridCol w:w="1690"/>
        <w:gridCol w:w="1690"/>
      </w:tblGrid>
      <w:tr>
        <w:trPr>
          <w:tblHeader/>
        </w:trP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4D7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Segment</w:t>
            </w:r>
          </w:p>
        </w:tc>
        <w:tc>
          <w:tcPr>
            <w:tcW w:type="dxa" w:w="169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4D7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Customers</w:t>
            </w:r>
          </w:p>
        </w:tc>
        <w:tc>
          <w:tcPr>
            <w:tcW w:type="dxa" w:w="169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4D7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Churn</w:t>
            </w:r>
          </w:p>
        </w:tc>
        <w:tc>
          <w:tcPr>
            <w:tcW w:type="dxa" w:w="169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4D7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Avg Bill</w:t>
            </w:r>
          </w:p>
        </w:tc>
        <w:tc>
          <w:tcPr>
            <w:tcW w:type="dxa" w:w="169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4D7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Value Score</w:t>
            </w:r>
          </w:p>
        </w:tc>
      </w:tr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3F0E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High Risk Users</w:t>
            </w:r>
          </w:p>
        </w:tc>
        <w:tc>
          <w:tcPr>
            <w:tcW w:type="dxa" w:w="169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3F0E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728</w:t>
            </w:r>
          </w:p>
        </w:tc>
        <w:tc>
          <w:tcPr>
            <w:tcW w:type="dxa" w:w="169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3F0E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32%</w:t>
            </w:r>
          </w:p>
        </w:tc>
        <w:tc>
          <w:tcPr>
            <w:tcW w:type="dxa" w:w="169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3F0E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$72.80</w:t>
            </w:r>
          </w:p>
        </w:tc>
        <w:tc>
          <w:tcPr>
            <w:tcW w:type="dxa" w:w="169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3F0E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57.2</w:t>
            </w:r>
          </w:p>
        </w:tc>
      </w:tr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Premium Users</w:t>
            </w:r>
          </w:p>
        </w:tc>
        <w:tc>
          <w:tcPr>
            <w:tcW w:type="dxa" w:w="169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836</w:t>
            </w:r>
          </w:p>
        </w:tc>
        <w:tc>
          <w:tcPr>
            <w:tcW w:type="dxa" w:w="169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9%</w:t>
            </w:r>
          </w:p>
        </w:tc>
        <w:tc>
          <w:tcPr>
            <w:tcW w:type="dxa" w:w="169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$60.10</w:t>
            </w:r>
          </w:p>
        </w:tc>
        <w:tc>
          <w:tcPr>
            <w:tcW w:type="dxa" w:w="169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46.6</w:t>
            </w:r>
          </w:p>
        </w:tc>
      </w:tr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Voice Heavy Users</w:t>
            </w:r>
          </w:p>
        </w:tc>
        <w:tc>
          <w:tcPr>
            <w:tcW w:type="dxa" w:w="169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509</w:t>
            </w:r>
          </w:p>
        </w:tc>
        <w:tc>
          <w:tcPr>
            <w:tcW w:type="dxa" w:w="169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10%</w:t>
            </w:r>
          </w:p>
        </w:tc>
        <w:tc>
          <w:tcPr>
            <w:tcW w:type="dxa" w:w="169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$60.27</w:t>
            </w:r>
          </w:p>
        </w:tc>
        <w:tc>
          <w:tcPr>
            <w:tcW w:type="dxa" w:w="169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49.7</w:t>
            </w:r>
          </w:p>
        </w:tc>
      </w:tr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International Users</w:t>
            </w:r>
          </w:p>
        </w:tc>
        <w:tc>
          <w:tcPr>
            <w:tcW w:type="dxa" w:w="169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568</w:t>
            </w:r>
          </w:p>
        </w:tc>
        <w:tc>
          <w:tcPr>
            <w:tcW w:type="dxa" w:w="169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13%</w:t>
            </w:r>
          </w:p>
        </w:tc>
        <w:tc>
          <w:tcPr>
            <w:tcW w:type="dxa" w:w="169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$44.97</w:t>
            </w:r>
          </w:p>
        </w:tc>
        <w:tc>
          <w:tcPr>
            <w:tcW w:type="dxa" w:w="169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34.7</w:t>
            </w:r>
          </w:p>
        </w:tc>
      </w:tr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Low Revenue Users</w:t>
            </w:r>
          </w:p>
        </w:tc>
        <w:tc>
          <w:tcPr>
            <w:tcW w:type="dxa" w:w="169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692</w:t>
            </w:r>
          </w:p>
        </w:tc>
        <w:tc>
          <w:tcPr>
            <w:tcW w:type="dxa" w:w="169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7%</w:t>
            </w:r>
          </w:p>
        </w:tc>
        <w:tc>
          <w:tcPr>
            <w:tcW w:type="dxa" w:w="169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$55.91</w:t>
            </w:r>
          </w:p>
        </w:tc>
        <w:tc>
          <w:tcPr>
            <w:tcW w:type="dxa" w:w="169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43.1</w:t>
            </w:r>
          </w:p>
        </w:tc>
      </w:tr>
    </w:tbl>
    <w:p>
      <w:pPr>
        <w:spacing w:after="120"/>
        <w:jc w:val="both"/>
      </w:pPr>
      <w:r>
        <w:t xml:space="preserve">The </w:t>
      </w:r>
      <w:r>
        <w:rPr>
          <w:b/>
          <w:bCs/>
        </w:rPr>
        <w:t xml:space="preserve">High Risk Users</w:t>
      </w:r>
      <w:r>
        <w:t xml:space="preserve"> segment (highlighted) is the standout concern: they pay the most yet churn at 32% — protecting them protects the most revenue.</w:t>
      </w:r>
    </w:p>
    <w:p>
      <w:pPr>
        <w:spacing w:after="40" w:before="80"/>
        <w:jc w:val="center"/>
      </w:pPr>
      <w:r>
        <w:drawing>
          <wp:inline distT="0" distB="0" distL="0" distR="0">
            <wp:extent cx="4381500" cy="2905125"/>
            <wp:effectExtent t="0" r="0" b="0" l="0"/>
            <wp:docPr id="1" name="09_segments_pca_scatter" descr="09_segments_pca_scatter" title="09_segments_pca_scat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7"/>
          <w:szCs w:val="17"/>
        </w:rPr>
        <w:t xml:space="preserve">Customer segments (K-Means) — PCA projection</w:t>
      </w:r>
    </w:p>
    <w:p>
      <w:r>
        <w:br w:type="page"/>
      </w:r>
    </w:p>
    <w:p>
      <w:pPr>
        <w:pStyle w:val="Heading1"/>
      </w:pPr>
      <w:r>
        <w:t xml:space="preserve">5. Package Recommendation Engine</w:t>
      </w:r>
    </w:p>
    <w:p>
      <w:pPr>
        <w:spacing w:after="120"/>
        <w:jc w:val="both"/>
      </w:pPr>
      <w:r>
        <w:t xml:space="preserve">For every subscriber the engine finds the 5 most similar customers — by usage, charges, international calls, tenure and service calls — and recommends the package most common among them: </w:t>
      </w:r>
      <w:r>
        <w:rPr>
          <w:i/>
          <w:iCs/>
        </w:rPr>
        <w:t xml:space="preserve">“Customers similar to you are using Package X.”</w:t>
      </w:r>
      <w:r>
        <w:t xml:space="preserve"> This surfaces a cross-sell / upsell opportunity for roughly </w:t>
      </w:r>
      <w:r>
        <w:rPr>
          <w:b/>
          <w:bCs/>
        </w:rPr>
        <w:t xml:space="preserve">40% of the base</w:t>
      </w:r>
      <w:r>
        <w:t xml:space="preserve">, and gives front-line staff a concrete next-best offer for each customer.</w:t>
      </w:r>
    </w:p>
    <w:p>
      <w:pPr>
        <w:pStyle w:val="Heading1"/>
      </w:pPr>
      <w:r>
        <w:t xml:space="preserve">6. Churn Prediction Results</w:t>
      </w:r>
    </w:p>
    <w:p>
      <w:pPr>
        <w:spacing w:after="120"/>
        <w:jc w:val="both"/>
      </w:pPr>
      <w:r>
        <w:t xml:space="preserve">Three models were tuned with SMOTE (to handle the 14.5% imbalance) and Stratified 5-fold cross-validation, then scored on the untouched 20% holdout split.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0"/>
        <w:gridCol w:w="2200"/>
        <w:gridCol w:w="2200"/>
        <w:gridCol w:w="2200"/>
      </w:tblGrid>
      <w:tr>
        <w:trPr>
          <w:tblHeader/>
        </w:trPr>
        <w:tc>
          <w:tcPr>
            <w:tcW w:type="dxa" w:w="2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4D7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4D7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CV ROC-AUC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4D7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Test ROC-AUC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4D7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Test F1</w:t>
            </w:r>
          </w:p>
        </w:tc>
      </w:tr>
      <w:tr>
        <w:tc>
          <w:tcPr>
            <w:tcW w:type="dxa" w:w="2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KNN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0.880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0.904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0.560</w:t>
            </w:r>
          </w:p>
        </w:tc>
      </w:tr>
      <w:tr>
        <w:tc>
          <w:tcPr>
            <w:tcW w:type="dxa" w:w="2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RandomForest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0.915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0.920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0.876</w:t>
            </w:r>
          </w:p>
        </w:tc>
      </w:tr>
      <w:tr>
        <w:tc>
          <w:tcPr>
            <w:tcW w:type="dxa" w:w="2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3F0E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XGBoost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3F0E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0.925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3F0E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0.923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3F0E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0.843</w:t>
            </w:r>
          </w:p>
        </w:tc>
      </w:tr>
    </w:tbl>
    <w:p>
      <w:pPr>
        <w:spacing w:after="120"/>
        <w:jc w:val="both"/>
      </w:pPr>
      <w:r>
        <w:rPr>
          <w:b/>
          <w:bCs/>
        </w:rPr>
        <w:t xml:space="preserve">XGBoost</w:t>
      </w:r>
      <w:r>
        <w:t xml:space="preserve"> is the best model: </w:t>
      </w:r>
      <w:r>
        <w:rPr>
          <w:b/>
          <w:bCs/>
        </w:rPr>
        <w:t xml:space="preserve">0.924 ROC-AUC</w:t>
      </w:r>
      <w:r>
        <w:t xml:space="preserve">, 95% accuracy, and </w:t>
      </w:r>
      <w:r>
        <w:rPr>
          <w:b/>
          <w:bCs/>
        </w:rPr>
        <w:t xml:space="preserve">87% recall on churners</w:t>
      </w:r>
      <w:r>
        <w:t xml:space="preserve"> — it catches the large majority of customers who are about to leave.</w:t>
      </w:r>
    </w:p>
    <w:p>
      <w:pPr>
        <w:spacing w:after="40" w:before="80"/>
        <w:jc w:val="center"/>
      </w:pPr>
      <w:r>
        <w:drawing>
          <wp:inline distT="0" distB="0" distL="0" distR="0">
            <wp:extent cx="3143250" cy="2686050"/>
            <wp:effectExtent t="0" r="0" b="0" l="0"/>
            <wp:docPr id="1" name="12_roc_curves" descr="12_roc_curves" title="12_roc_curv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7"/>
          <w:szCs w:val="17"/>
        </w:rPr>
        <w:t xml:space="preserve">ROC curves for the three tuned models</w:t>
      </w:r>
    </w:p>
    <w:p>
      <w:pPr>
        <w:spacing w:after="40" w:before="80"/>
        <w:jc w:val="center"/>
      </w:pPr>
      <w:r>
        <w:drawing>
          <wp:inline distT="0" distB="0" distL="0" distR="0">
            <wp:extent cx="2667000" cy="2124075"/>
            <wp:effectExtent t="0" r="0" b="0" l="0"/>
            <wp:docPr id="1" name="13_confusion_matrix" descr="13_confusion_matrix" title="13_confusion_matri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7"/>
          <w:szCs w:val="17"/>
        </w:rPr>
        <w:t xml:space="preserve">Confusion matrix — best model (XGBoost) on holdout</w:t>
      </w:r>
    </w:p>
    <w:p>
      <w:r>
        <w:br w:type="page"/>
      </w:r>
    </w:p>
    <w:p>
      <w:pPr>
        <w:pStyle w:val="Heading1"/>
      </w:pPr>
      <w:r>
        <w:t xml:space="preserve">7. Why Customers Churn (SHAP)</w:t>
      </w:r>
    </w:p>
    <w:p>
      <w:pPr>
        <w:spacing w:after="120"/>
        <w:jc w:val="both"/>
      </w:pPr>
      <w:r>
        <w:t xml:space="preserve">SHAP explains the model's predictions. The strongest churn drivers are: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960"/>
        <w:gridCol w:w="3000"/>
      </w:tblGrid>
      <w:tr>
        <w:trPr>
          <w:tblHeader/>
        </w:trPr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4D7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Rank</w:t>
            </w:r>
          </w:p>
        </w:tc>
        <w:tc>
          <w:tcPr>
            <w:tcW w:type="dxa" w:w="4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4D7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Driver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4D7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Impact (mean |SHAP|)</w:t>
            </w:r>
          </w:p>
        </w:tc>
      </w:tr>
      <w:tr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4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Total Charges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1.184</w:t>
            </w:r>
          </w:p>
        </w:tc>
      </w:tr>
      <w:tr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4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Voice mail plan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0.812</w:t>
            </w:r>
          </w:p>
        </w:tc>
      </w:tr>
      <w:tr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4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Number vmail messages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0.488</w:t>
            </w:r>
          </w:p>
        </w:tc>
      </w:tr>
      <w:tr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4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Total intl calls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0.486</w:t>
            </w:r>
          </w:p>
        </w:tc>
      </w:tr>
      <w:tr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4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Customer service calls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0.418</w:t>
            </w:r>
          </w:p>
        </w:tc>
      </w:tr>
      <w:tr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4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International Usage Ratio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0.218</w:t>
            </w:r>
          </w:p>
        </w:tc>
      </w:tr>
    </w:tbl>
    <w:p>
      <w:pPr>
        <w:spacing w:after="40" w:before="80"/>
        <w:jc w:val="center"/>
      </w:pPr>
      <w:r>
        <w:drawing>
          <wp:inline distT="0" distB="0" distL="0" distR="0">
            <wp:extent cx="4476750" cy="4362450"/>
            <wp:effectExtent t="0" r="0" b="0" l="0"/>
            <wp:docPr id="1" name="15_shap_importance_bar" descr="15_shap_importance_bar" title="15_shap_importance_b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7"/>
          <w:szCs w:val="17"/>
        </w:rPr>
        <w:t xml:space="preserve">Global feature importance (mean absolute SHAP value)</w:t>
      </w:r>
    </w:p>
    <w:p>
      <w:r>
        <w:br w:type="page"/>
      </w:r>
    </w:p>
    <w:p>
      <w:pPr>
        <w:pStyle w:val="Heading1"/>
      </w:pPr>
      <w:r>
        <w:t xml:space="preserve">8. Business Value</w:t>
      </w:r>
    </w:p>
    <w:p>
      <w:pPr>
        <w:spacing w:after="120"/>
        <w:jc w:val="both"/>
      </w:pPr>
      <w:r>
        <w:t xml:space="preserve">The pipeline converts raw subscriber data into five concrete operator capabilities: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Identify high-value customers</w:t>
      </w:r>
      <w:r>
        <w:t xml:space="preserve"> — the Customer Value Score and segments rank the base by worth.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Recommend better packages</w:t>
      </w:r>
      <w:r>
        <w:t xml:space="preserve"> — the KNN engine gives every subscriber a next-best-offer, with upsell flags.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Reduce churn</w:t>
      </w:r>
      <w:r>
        <w:t xml:space="preserve"> — every subscriber gets a churn probability and risk band, so retention teams act </w:t>
      </w:r>
      <w:r>
        <w:rPr>
          <w:i/>
          <w:iCs/>
        </w:rPr>
        <w:t xml:space="preserve">before</w:t>
      </w:r>
      <w:r>
        <w:t xml:space="preserve"> customers leave.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Increase ARPU</w:t>
      </w:r>
      <w:r>
        <w:t xml:space="preserve"> — move Low-Revenue users onto fitting paid packages and upsell Premium / International users.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Sharper retention campaigns</w:t>
      </w:r>
      <w:r>
        <w:t xml:space="preserve"> — target the </w:t>
      </w:r>
      <w:r>
        <w:rPr>
          <w:b/>
          <w:bCs/>
        </w:rPr>
        <w:t xml:space="preserve">High-Risk &amp; High-Value</w:t>
      </w:r>
      <w:r>
        <w:t xml:space="preserve"> overlap, where saved revenue per customer is greatest.</w:t>
      </w:r>
    </w:p>
    <w:p>
      <w:pPr>
        <w:pStyle w:val="Heading2"/>
      </w:pPr>
      <w:r>
        <w:t xml:space="preserve">Recommended actions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Launch a proactive save-desk for High-Risk customers with ≥3 service calls.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Audit the international plan — its holders churn ~4× the base; revisit pricing / quality.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Feed the scored dataset (</w:t>
      </w:r>
      <w:r>
        <w:rPr>
          <w:rFonts w:ascii="Consolas" w:cs="Consolas" w:eastAsia="Consolas" w:hAnsi="Consolas"/>
        </w:rPr>
        <w:t xml:space="preserve">telecom_scored.csv</w:t>
      </w:r>
      <w:r>
        <w:t xml:space="preserve">) into a Power BI dashboard for ongoing monitoring.</w:t>
      </w:r>
    </w:p>
    <w:p>
      <w:pPr>
        <w:spacing w:before="200"/>
      </w:pPr>
      <w:r>
        <w:rPr>
          <w:i/>
          <w:iCs/>
          <w:color w:val="555555"/>
          <w:sz w:val="18"/>
          <w:szCs w:val="18"/>
        </w:rPr>
        <w:t xml:space="preserve">All figures in this report are produced by the reproducible pipeline; the scored dataset is Power BI-ready.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6"/>
        <w:szCs w:val="16"/>
      </w:rPr>
      <w:t xml:space="preserve">Telecom Customer Segmentation &amp; Package Recommendation System  —  Page </w:t>
    </w:r>
    <w:r>
      <w:rPr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60"/>
      <w:outlineLvl w:val="0"/>
    </w:pPr>
    <w:rPr>
      <w:rFonts w:ascii="Calibri" w:cs="Calibri" w:eastAsia="Calibri" w:hAnsi="Calibri"/>
      <w:b/>
      <w:bCs/>
      <w:color w:val="1A4D7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Calibri" w:cs="Calibri" w:eastAsia="Calibri" w:hAnsi="Calibri"/>
      <w:b/>
      <w:bCs/>
      <w:color w:val="0B728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9e00ceaa5f58ae8378f174886e2f9ad95db6a43d.png"/><Relationship Id="rId9" Type="http://schemas.openxmlformats.org/officeDocument/2006/relationships/image" Target="media/b59ffe934cf33da097629e829d17c8d6c62aaebc.png"/><Relationship Id="rId10" Type="http://schemas.openxmlformats.org/officeDocument/2006/relationships/image" Target="media/eefb084e14164f60c4a4bba1fcf43f7ce602f6ed.png"/><Relationship Id="rId11" Type="http://schemas.openxmlformats.org/officeDocument/2006/relationships/image" Target="media/2e83779712d894f474f819465d55faa98930e864.png"/><Relationship Id="rId12" Type="http://schemas.openxmlformats.org/officeDocument/2006/relationships/image" Target="media/bbac1f664a9b0aaab3e159f14ae3758d9b9afd93.png"/><Relationship Id="rId13" Type="http://schemas.openxmlformats.org/officeDocument/2006/relationships/image" Target="media/b51cfaac88c98699f237ccdbca0a42638be7b3b5.png"/><Relationship Id="rId14" Type="http://schemas.openxmlformats.org/officeDocument/2006/relationships/image" Target="media/84893eb3de2561f3612036706d1dd33542be6787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Telecom Customer Segmentation - Business Report</dc:title>
  <dc:creator>triaz.malik</dc:creator>
  <cp:lastModifiedBy>Un-named</cp:lastModifiedBy>
  <cp:revision>1</cp:revision>
  <dcterms:created xsi:type="dcterms:W3CDTF">2026-06-07T19:37:38.839Z</dcterms:created>
  <dcterms:modified xsi:type="dcterms:W3CDTF">2026-06-07T19:37:38.840Z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