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1"/>
        <w:spacing w:after="80" w:before="360" w:line="276" w:lineRule="auto"/>
        <w:rPr>
          <w:rFonts w:ascii="Times New Roman" w:cs="Times New Roman" w:eastAsia="Times New Roman" w:hAnsi="Times New Roman"/>
          <w:i w:val="1"/>
          <w:iCs w:val="1"/>
          <w:color w:val="000000"/>
          <w:sz w:val="34"/>
          <w:szCs w:val="34"/>
        </w:rPr>
      </w:pPr>
      <w:bookmarkStart w:colFirst="0" w:colLast="0" w:name="_qjm7lajbajaa" w:id="0"/>
      <w:bookmarkEnd w:id="0"/>
      <w:r w:rsidDel="00000000" w:rsidR="00000000" w:rsidRPr="00000000">
        <w:rPr>
          <w:rFonts w:ascii="Times New Roman" w:cs="Times New Roman" w:eastAsia="Times New Roman" w:hAnsi="Times New Roman"/>
          <w:i w:val="1"/>
          <w:iCs w:val="1"/>
          <w:color w:val="000000"/>
          <w:sz w:val="34"/>
          <w:szCs w:val="34"/>
          <w:rtl w:val="0"/>
        </w:rPr>
        <w:t xml:space="preserve">Tiết 3: Thực hành nhận diện lừa đảo &amp; nguy cơ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0" w:lineRule="auto"/>
        <w:ind w:left="0" w:right="210" w:firstLine="0"/>
        <w:rPr>
          <w:rFonts w:ascii="Times New Roman" w:cs="Times New Roman" w:eastAsia="Times New Roman" w:hAnsi="Times New Roman"/>
          <w:shd w:fill="fffaf0" w:val="clear"/>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Địa chỉ email người gửi bị giả mạo (Sender Address Spoofing)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hiển thị người gửi có thể ghi tên thương hiệu uy tín (ví dụ: "Ngân hàng ACB", "Phòng Đào Tạo"), nhưng khi bấm xem chi tiết địa chỉ email thực tế lại dùng các tên miền không liên quan, cố tình viết sai chính tả (như @vccb.com.vn thay vì @vietcombank.com.vn) hoặc dùng các dịch vụ email miễn phí (@gmail.com, @yahoo.com).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Đường link giả mạo / Không mã hóa an toàn (URL Spoofing &amp; HTTP)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rê chuột qua đường liên kết (không click), URL xuất hiện ở góc màn hình khác biệt hoàn toàn với tên miền chính thức của tổ chức. Ngoài ra, các website lừa đảo thường dùng giao thức không an toàn http:// thay vì https:// (thiếu biểu tượng ổ khóa an toàn trên thanh địa chỉ).</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Sử dụng tâm lý đe dọa hoặc thúc ép thời gian (Urgency &amp; Scarcity)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lừa đảo thường tạo ra sự sợ hãi hoặc khẩn cấp nhân tạo (ví dụ: "Tài khoản sẽ bị khóa vĩnh viễn trong 24 giờ", "Bạn bị kiện do vi phạm pháp luật"). Mục đích là làm nạn nhân hoảng loạn và hành động vội vàng mà không kịp kiểm tra lại thông tin.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Đòi hỏi thông tin nhạy cảm &amp; Bẫy tài chính (Sensitive Data Request)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người dùng cung cấp các thông tin bảo mật tối cấp như: Mật khẩu đăng nhập, Mã OTP ngân hàng, Số thẻ credit/debit, Căn cước công dân. Các tổ chức uy tín (Ngân hàng, Trường học, Google) </w:t>
      </w:r>
      <w:r w:rsidDel="00000000" w:rsidR="00000000" w:rsidRPr="00000000">
        <w:rPr>
          <w:rFonts w:ascii="Times New Roman" w:cs="Times New Roman" w:eastAsia="Times New Roman" w:hAnsi="Times New Roman"/>
          <w:b w:val="1"/>
          <w:bCs w:val="1"/>
          <w:sz w:val="26"/>
          <w:szCs w:val="26"/>
          <w:rtl w:val="0"/>
        </w:rPr>
        <w:t xml:space="preserve">không bao giờ</w:t>
      </w:r>
      <w:r w:rsidDel="00000000" w:rsidR="00000000" w:rsidRPr="00000000">
        <w:rPr>
          <w:rFonts w:ascii="Times New Roman" w:cs="Times New Roman" w:eastAsia="Times New Roman" w:hAnsi="Times New Roman"/>
          <w:sz w:val="26"/>
          <w:szCs w:val="26"/>
          <w:rtl w:val="0"/>
        </w:rPr>
        <w:t xml:space="preserve"> gửi email yêu cầu người dùng cung cấp mật khẩu hoặc mã OTP trực tiếp.</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Tệp đính kèm bất thường &amp; Lỗi văn phong/chính tả (Suspicious Attachments &amp; Formatting)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đính kèm các tệp tin nguy hiểm chứa mã độc (file .exe, .scr, .vbs, hoặc file .zip đặt mật khẩu). Lời văn trong email thường xưng hô chung chung ("Kính chào khách hàng" thay vì tên thật), câu từ lủng củng do sử dụng công cụ dịch tự động kém chất lượng.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00" w:before="32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