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sz w:val="44"/>
        </w:rPr>
        <w:t>《数据分析与数据挖掘》课程项目报告</w:t>
      </w:r>
    </w:p>
    <w:p/>
    <w:p>
      <w:pPr>
        <w:ind w:firstLine="0"/>
        <w:jc w:val="center"/>
      </w:pPr>
      <w:r>
        <w:rPr>
          <w:b/>
          <w:sz w:val="40"/>
        </w:rPr>
        <w:t>电信客户流失预测与价值细分系统</w:t>
      </w:r>
    </w:p>
    <w:p>
      <w:pPr>
        <w:ind w:firstLine="0"/>
        <w:jc w:val="center"/>
      </w:pPr>
      <w:r>
        <w:rPr>
          <w:b w:val="0"/>
          <w:sz w:val="28"/>
        </w:rPr>
        <w:t>—— 项目6：基于机器学习的客户流失分析与业务策略</w:t>
      </w:r>
    </w:p>
    <w:p/>
    <w:p/>
    <w:p/>
    <w:p/>
    <w:p>
      <w:pPr>
        <w:ind w:firstLine="0"/>
        <w:jc w:val="center"/>
      </w:pPr>
      <w:r>
        <w:rPr>
          <w:sz w:val="28"/>
        </w:rPr>
        <w:t>小组成员：__________  __________  __________</w:t>
      </w:r>
    </w:p>
    <w:p>
      <w:pPr>
        <w:ind w:firstLine="0"/>
        <w:jc w:val="center"/>
      </w:pPr>
      <w:r>
        <w:rPr>
          <w:sz w:val="28"/>
        </w:rPr>
        <w:t>专业班级：__________</w:t>
      </w:r>
    </w:p>
    <w:p>
      <w:pPr>
        <w:ind w:firstLine="0"/>
        <w:jc w:val="center"/>
      </w:pPr>
      <w:r>
        <w:rPr>
          <w:sz w:val="28"/>
        </w:rPr>
        <w:t>指导老师：__________</w:t>
      </w:r>
    </w:p>
    <w:p>
      <w:pPr>
        <w:ind w:firstLine="0"/>
        <w:jc w:val="center"/>
      </w:pPr>
      <w:r>
        <w:rPr>
          <w:sz w:val="28"/>
        </w:rPr>
        <w:t>开课时间：2025-2026-2</w:t>
      </w:r>
    </w:p>
    <w:p>
      <w:r>
        <w:br w:type="page"/>
      </w:r>
    </w:p>
    <w:p>
      <w:pPr>
        <w:pStyle w:val="Heading1"/>
        <w:ind w:firstLine="0"/>
      </w:pPr>
      <w:r>
        <w:t>摘要</w:t>
      </w:r>
    </w:p>
    <w:p>
      <w:r>
        <w:rPr>
          <w:b w:val="0"/>
          <w:sz w:val="24"/>
        </w:rPr>
        <w:t>电信行业客户流失问题日益严峻，新客户获取成本远高于存量客户维护成本。本项目构建了一套完整的"流失预警+客户分群"双模块分析系统，基于Kaggle Telco Customer Churn数据集（7,043条记录，21个特征），综合运用数据清洗、RFM与WOE特征工程、折内SMOTE交叉验证、四种分类模型对比（逻辑回归、随机森林、XGBoost、LightGBM）、SHAP可解释性分析以及K-Means/DBSCAN聚类分析等方法。</w:t>
      </w:r>
    </w:p>
    <w:p>
      <w:r>
        <w:rPr>
          <w:b w:val="0"/>
          <w:sz w:val="24"/>
        </w:rPr>
        <w:t>实验结果表明，在真实不平衡测试集上，随机森林模型取得最佳综合性能（ROC-AUC = 0.8386，Recall = 0.7086，F1 = 0.6295）。K-Means聚类成功将客户分为4个具有显著差异的群体，其中高危群体（Cluster 2）流失率高达60.9%，高价值群体（Cluster 1）月均消费$95且流失率仅21.3%。基于SHAP分析和聚类画像，提出了合同类型优化、增值服务捆绑、支付方式引导等六大方向的业务策略建议，为电信运营商的客户留存决策提供了数据驱动的支撑。</w:t>
      </w:r>
    </w:p>
    <w:p>
      <w:pPr>
        <w:ind w:firstLine="0"/>
      </w:pPr>
      <w:r>
        <w:rPr>
          <w:b/>
          <w:sz w:val="24"/>
        </w:rPr>
        <w:t>关键词：客户流失预测；机器学习；SMOTE；SHAP可解释性；客户细分；集成学习</w:t>
      </w:r>
    </w:p>
    <w:p>
      <w:pPr>
        <w:pStyle w:val="Heading1"/>
        <w:ind w:firstLine="0"/>
      </w:pPr>
      <w:r>
        <w:t>1. 引言</w:t>
      </w:r>
    </w:p>
    <w:p>
      <w:pPr>
        <w:pStyle w:val="Heading2"/>
        <w:ind w:firstLine="0"/>
      </w:pPr>
      <w:r>
        <w:t>1.1 问题定义</w:t>
      </w:r>
    </w:p>
    <w:p>
      <w:r>
        <w:rPr>
          <w:b w:val="0"/>
          <w:sz w:val="24"/>
        </w:rPr>
        <w:t>在电信行业，客户流失（Customer Churn）指客户主动停止使用运营商服务的行为。随着市场竞争日趋激烈，运营商之间的客户争夺成本不断攀升。研究表明，获取一个新客户的成本是维护一个老客户的5至6倍，而客户留存率每提升5%，企业利润可增加25%至95%[1]。因此，准确预测客户的流失倾向、深入理解流失驱动因素、制定针对性的客户留存策略，对于电信企业保持竞争力和盈利能力具有重要的商业价值。</w:t>
      </w:r>
    </w:p>
    <w:p>
      <w:pPr>
        <w:pStyle w:val="Heading2"/>
        <w:ind w:firstLine="0"/>
      </w:pPr>
      <w:r>
        <w:t>1.2 研究意义</w:t>
      </w:r>
    </w:p>
    <w:p>
      <w:r>
        <w:rPr>
          <w:b w:val="0"/>
          <w:sz w:val="24"/>
        </w:rPr>
        <w:t>传统的客户流失管理往往采取被动的事后补救措施，效果有限且成本高昂。数据挖掘与机器学习技术的快速发展为主动式流失管理提供了技术基础。通过构建预测模型，企业可以在客户做出离网决策之前识别高风险客户群体，从而提前采取精准的干预措施。此外，借助SHAP（SHapley Additive exPlanations）等可解释性工具，模型分析结果可以由"黑箱预测"转变为可理解、可操作的业务洞察[2]。</w:t>
      </w:r>
    </w:p>
    <w:p>
      <w:pPr>
        <w:pStyle w:val="Heading2"/>
        <w:ind w:firstLine="0"/>
      </w:pPr>
      <w:r>
        <w:t>1.3 项目目标</w:t>
      </w:r>
    </w:p>
    <w:p>
      <w:r>
        <w:rPr>
          <w:b w:val="0"/>
          <w:sz w:val="24"/>
        </w:rPr>
        <w:t>本项目的目标是构建一个完整的"流失预警 + 客户分群"双模块分析系统。具体包括三个层次：</w:t>
      </w:r>
    </w:p>
    <w:p>
      <w:pPr>
        <w:pStyle w:val="ListBullet"/>
      </w:pPr>
      <w:r>
        <w:rPr>
          <w:sz w:val="24"/>
        </w:rPr>
        <w:t>有监督学习模块：对比逻辑回归、随机森林、XGBoost和LightGBM四种分类算法，通过训练集SMOTE处理类别不平衡，并在交叉验证中使用折内SMOTE Pipeline避免验证集泄漏，以ROC-AUC和Recall为核心指标，选出最佳流失预测模型。</w:t>
      </w:r>
    </w:p>
    <w:p>
      <w:pPr>
        <w:pStyle w:val="ListBullet"/>
      </w:pPr>
      <w:r>
        <w:rPr>
          <w:sz w:val="24"/>
        </w:rPr>
        <w:t>无监督学习模块：利用K-Means和DBSCAN对客户进行聚类细分，识别不同价值群体及其流失风险特征。</w:t>
      </w:r>
    </w:p>
    <w:p>
      <w:pPr>
        <w:pStyle w:val="ListBullet"/>
      </w:pPr>
      <w:r>
        <w:rPr>
          <w:sz w:val="24"/>
        </w:rPr>
        <w:t>可解释性与业务应用：通过SHAP分析揭示特征对流失预测的贡献方向与大小，结合聚类画像，输出可落地的业务策略建议。</w:t>
      </w:r>
    </w:p>
    <w:p>
      <w:pPr>
        <w:pStyle w:val="Heading1"/>
        <w:ind w:firstLine="0"/>
      </w:pPr>
      <w:r>
        <w:t>2. 相关工作</w:t>
      </w:r>
    </w:p>
    <w:p>
      <w:r>
        <w:rPr>
          <w:b w:val="0"/>
          <w:sz w:val="24"/>
        </w:rPr>
        <w:t>客户流失预测是数据挖掘领域的经典问题，国内外学者已开展了广泛的研究工作。本节从传统统计方法、集成学习、不平衡学习策略、深度学习方法以及模型可解释性五个方面进行综述。</w:t>
      </w:r>
    </w:p>
    <w:p>
      <w:pPr>
        <w:pStyle w:val="Heading2"/>
        <w:ind w:firstLine="0"/>
      </w:pPr>
      <w:r>
        <w:t>2.1 传统统计方法</w:t>
      </w:r>
    </w:p>
    <w:p>
      <w:r>
        <w:rPr>
          <w:b w:val="0"/>
          <w:sz w:val="24"/>
        </w:rPr>
        <w:t>早期研究主要采用逻辑回归（Logistic Regression）和决策树（Decision Tree）等传统方法。Lemmens和Croux[3]使用逻辑回归对美国电信公司客户数据建模，发现合同类型和在网时长是最具预测力的变量。该类方法的优势在于模型可解释性强，训练和推理速度快，但面对高维特征和非线性关系时预测能力有限。Burez和Van den Poel[6]的研究进一步指出，单一的传统分类器在处理类别不平衡时性能下降明显。</w:t>
      </w:r>
    </w:p>
    <w:p>
      <w:pPr>
        <w:pStyle w:val="Heading2"/>
        <w:ind w:firstLine="0"/>
      </w:pPr>
      <w:r>
        <w:t>2.2 集成学习方法</w:t>
      </w:r>
    </w:p>
    <w:p>
      <w:r>
        <w:rPr>
          <w:b w:val="0"/>
          <w:sz w:val="24"/>
        </w:rPr>
        <w:t>随着算法发展，集成学习方法在流失预测中展现出优越性能。XGBoost（eXtreme Gradient Boosting）由Chen和Guestrin[4]于2016年提出，通过梯度提升框架实现高效的特征选择和L1/L2正则化，已成为工业界的主流方案。LightGBM由Ke等人[5]于2017年提出，基于直方图算法和叶子优先（leaf-wise）的生长策略，进一步优化了训练速度与内存占用，在大规模数据集上表现突出。Breiman[13]提出的随机森林则通过Bagging策略和多棵决策树的投票机制，天然具有良好的抗过拟合能力。</w:t>
      </w:r>
    </w:p>
    <w:p>
      <w:pPr>
        <w:pStyle w:val="Heading2"/>
        <w:ind w:firstLine="0"/>
      </w:pPr>
      <w:r>
        <w:t>2.3 不平衡学习策略</w:t>
      </w:r>
    </w:p>
    <w:p>
      <w:r>
        <w:rPr>
          <w:b w:val="0"/>
          <w:sz w:val="24"/>
        </w:rPr>
        <w:t>客户流失数据通常存在严重的类别不平衡问题（流失客户占比往往不到30%）。Chawla等人[7]于2002年提出的SMOTE（Synthetic Minority Oversampling Technique）通过在特征空间中合成少数类样本，有效缓解了不平衡问题，成为该领域引用最高的方法之一。Verbeke等人[8]从利润驱动的角度出发，提出代价敏感学习（Cost-Sensitive Learning）框架，通过为少数类赋予更高的误分类代价来优化模型的实际商业价值。</w:t>
      </w:r>
    </w:p>
    <w:p>
      <w:pPr>
        <w:pStyle w:val="Heading2"/>
        <w:ind w:firstLine="0"/>
      </w:pPr>
      <w:r>
        <w:t>2.4 深度学习与图神经网络方法</w:t>
      </w:r>
    </w:p>
    <w:p>
      <w:r>
        <w:rPr>
          <w:b w:val="0"/>
          <w:sz w:val="24"/>
        </w:rPr>
        <w:t>近年来，深度学习也被引入客户流失预测领域。Wangperawong等人[9]使用时间卷积网络（TCN）建模客户行为时序特征，取得了优于传统方法的预测精度。然而，Grinsztajn等人[10]在2022年的系统性研究中指出，对于中小规模的结构化表格数据，精心调参的集成树模型（如XGBoost、LightGBM）往往不逊色于甚至优于深度神经网络。</w:t>
      </w:r>
    </w:p>
    <w:p>
      <w:pPr>
        <w:pStyle w:val="Heading2"/>
        <w:ind w:firstLine="0"/>
      </w:pPr>
      <w:r>
        <w:t>2.5 模型可解释性</w:t>
      </w:r>
    </w:p>
    <w:p>
      <w:r>
        <w:rPr>
          <w:b w:val="0"/>
          <w:sz w:val="24"/>
        </w:rPr>
        <w:t>随着机器学习模型在业务场景中的广泛应用，模型可解释性变得愈发重要。Ribeiro等人[11]于2016年提出了LIME（Local Interpretable Model-agnostic Explanations），通过局部线性近似来解释单个预测。Lundberg和Lee[2]于2017年提出的SHAP基于博弈论中的Shapley值，为每个特征分配对预测结果的贡献值，兼具局部解释和全局解释的能力。在企业实际应用中，SHAP已成为解释树模型预测的主流工具。</w:t>
      </w:r>
    </w:p>
    <w:p>
      <w:r>
        <w:rPr>
          <w:b w:val="0"/>
          <w:sz w:val="24"/>
        </w:rPr>
        <w:t>本项目在上述研究基础上，综合运用SMOTE过采样、四种分类模型对比、SHAP解释和聚类分析，构建一个完整、可解释、可落地的客户流失预测与价值细分系统。</w:t>
      </w:r>
    </w:p>
    <w:p>
      <w:pPr>
        <w:pStyle w:val="Heading1"/>
        <w:ind w:firstLine="0"/>
      </w:pPr>
      <w:r>
        <w:t>3. 数据集</w:t>
      </w:r>
    </w:p>
    <w:p>
      <w:pPr>
        <w:pStyle w:val="Heading2"/>
        <w:ind w:firstLine="0"/>
      </w:pPr>
      <w:r>
        <w:t>3.1 数据来源与规模</w:t>
      </w:r>
    </w:p>
    <w:p>
      <w:r>
        <w:rPr>
          <w:b w:val="0"/>
          <w:sz w:val="24"/>
        </w:rPr>
        <w:t>本实验使用Kaggle平台公开的Telco Customer Churn Dataset[12]。该数据集模拟了某电信运营商7,043名客户的订阅信息，包含21个特征变量（含1个目标变量），被广泛应用于客户流失预测的教学与研究。</w:t>
      </w:r>
    </w:p>
    <w:p>
      <w:pPr>
        <w:ind w:firstLine="0"/>
      </w:pPr>
      <w:r>
        <w:rPr>
          <w:b w:val="0"/>
          <w:sz w:val="24"/>
        </w:rPr>
        <w:t>数据集的特征可分为三大类别，如表1所示。</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
              <w:rPr>
                <w:rFonts w:ascii="黑体" w:hAnsi="黑体" w:eastAsia="黑体"/>
                <w:b/>
                <w:color w:val="FFFFFF"/>
                <w:sz w:val="20"/>
              </w:rPr>
              <w:t>类别</w:t>
            </w:r>
          </w:p>
        </w:tc>
        <w:tc>
          <w:tcPr>
            <w:tcW w:type="dxa" w:w="2880"/>
            <w:shd w:fill="4472C4" w:val="clear"/>
          </w:tcPr>
          <w:p>
            <w:pPr>
              <w:jc w:val="center"/>
            </w:pPr>
            <w:r/>
            <w:r>
              <w:rPr>
                <w:rFonts w:ascii="黑体" w:hAnsi="黑体" w:eastAsia="黑体"/>
                <w:b/>
                <w:color w:val="FFFFFF"/>
                <w:sz w:val="20"/>
              </w:rPr>
              <w:t>特征名称</w:t>
            </w:r>
          </w:p>
        </w:tc>
        <w:tc>
          <w:tcPr>
            <w:tcW w:type="dxa" w:w="2880"/>
            <w:shd w:fill="4472C4" w:val="clear"/>
          </w:tcPr>
          <w:p>
            <w:pPr>
              <w:jc w:val="center"/>
            </w:pPr>
            <w:r/>
            <w:r>
              <w:rPr>
                <w:rFonts w:ascii="黑体" w:hAnsi="黑体" w:eastAsia="黑体"/>
                <w:b/>
                <w:color w:val="FFFFFF"/>
                <w:sz w:val="20"/>
              </w:rPr>
              <w:t>说明</w:t>
            </w:r>
          </w:p>
        </w:tc>
      </w:tr>
      <w:tr>
        <w:tc>
          <w:tcPr>
            <w:tcW w:type="dxa" w:w="2880"/>
          </w:tcPr>
          <w:p>
            <w:pPr>
              <w:jc w:val="center"/>
            </w:pPr>
            <w:r/>
            <w:r>
              <w:rPr>
                <w:sz w:val="20"/>
              </w:rPr>
              <w:t>人口统计</w:t>
            </w:r>
          </w:p>
        </w:tc>
        <w:tc>
          <w:tcPr>
            <w:tcW w:type="dxa" w:w="2880"/>
          </w:tcPr>
          <w:p>
            <w:pPr>
              <w:jc w:val="center"/>
            </w:pPr>
            <w:r/>
            <w:r>
              <w:rPr>
                <w:sz w:val="20"/>
              </w:rPr>
              <w:t>gender, SeniorCitizen, Partner, Dependents</w:t>
            </w:r>
          </w:p>
        </w:tc>
        <w:tc>
          <w:tcPr>
            <w:tcW w:type="dxa" w:w="2880"/>
          </w:tcPr>
          <w:p>
            <w:pPr>
              <w:jc w:val="center"/>
            </w:pPr>
            <w:r/>
            <w:r>
              <w:rPr>
                <w:sz w:val="20"/>
              </w:rPr>
              <w:t>性别、是否老年人、是否有伴侣、是否有家属</w:t>
            </w:r>
          </w:p>
        </w:tc>
      </w:tr>
      <w:tr>
        <w:tc>
          <w:tcPr>
            <w:tcW w:type="dxa" w:w="2880"/>
            <w:shd w:fill="D9E2F3" w:val="clear"/>
          </w:tcPr>
          <w:p>
            <w:pPr>
              <w:jc w:val="center"/>
            </w:pPr>
            <w:r/>
            <w:r>
              <w:rPr>
                <w:sz w:val="20"/>
              </w:rPr>
              <w:t>账户信息</w:t>
            </w:r>
          </w:p>
        </w:tc>
        <w:tc>
          <w:tcPr>
            <w:tcW w:type="dxa" w:w="2880"/>
            <w:shd w:fill="D9E2F3" w:val="clear"/>
          </w:tcPr>
          <w:p>
            <w:pPr>
              <w:jc w:val="center"/>
            </w:pPr>
            <w:r/>
            <w:r>
              <w:rPr>
                <w:sz w:val="20"/>
              </w:rPr>
              <w:t>tenure, Contract, PaperlessBilling, PaymentMethod, MonthlyCharges, TotalCharges</w:t>
            </w:r>
          </w:p>
        </w:tc>
        <w:tc>
          <w:tcPr>
            <w:tcW w:type="dxa" w:w="2880"/>
            <w:shd w:fill="D9E2F3" w:val="clear"/>
          </w:tcPr>
          <w:p>
            <w:pPr>
              <w:jc w:val="center"/>
            </w:pPr>
            <w:r/>
            <w:r>
              <w:rPr>
                <w:sz w:val="20"/>
              </w:rPr>
              <w:t>在网时长、合同类型、无纸化账单、支付方式、月费、总费</w:t>
            </w:r>
          </w:p>
        </w:tc>
      </w:tr>
      <w:tr>
        <w:tc>
          <w:tcPr>
            <w:tcW w:type="dxa" w:w="2880"/>
          </w:tcPr>
          <w:p>
            <w:pPr>
              <w:jc w:val="center"/>
            </w:pPr>
            <w:r/>
            <w:r>
              <w:rPr>
                <w:sz w:val="20"/>
              </w:rPr>
              <w:t>服务订阅</w:t>
            </w:r>
          </w:p>
        </w:tc>
        <w:tc>
          <w:tcPr>
            <w:tcW w:type="dxa" w:w="2880"/>
          </w:tcPr>
          <w:p>
            <w:pPr>
              <w:jc w:val="center"/>
            </w:pPr>
            <w:r/>
            <w:r>
              <w:rPr>
                <w:sz w:val="20"/>
              </w:rPr>
              <w:t>PhoneService, MultipleLines, InternetService, OnlineSecurity, OnlineBackup, DeviceProtection, TechSupport, StreamingTV, StreamingMovies</w:t>
            </w:r>
          </w:p>
        </w:tc>
        <w:tc>
          <w:tcPr>
            <w:tcW w:type="dxa" w:w="2880"/>
          </w:tcPr>
          <w:p>
            <w:pPr>
              <w:jc w:val="center"/>
            </w:pPr>
            <w:r/>
            <w:r>
              <w:rPr>
                <w:sz w:val="20"/>
              </w:rPr>
              <w:t>电话服务、多线路、互联网服务类型、在线安全等9项增值服务</w:t>
            </w:r>
          </w:p>
        </w:tc>
      </w:tr>
      <w:tr>
        <w:tc>
          <w:tcPr>
            <w:tcW w:type="dxa" w:w="2880"/>
            <w:shd w:fill="D9E2F3" w:val="clear"/>
          </w:tcPr>
          <w:p>
            <w:pPr>
              <w:jc w:val="center"/>
            </w:pPr>
            <w:r/>
            <w:r>
              <w:rPr>
                <w:sz w:val="20"/>
              </w:rPr>
              <w:t>目标变量</w:t>
            </w:r>
          </w:p>
        </w:tc>
        <w:tc>
          <w:tcPr>
            <w:tcW w:type="dxa" w:w="2880"/>
            <w:shd w:fill="D9E2F3" w:val="clear"/>
          </w:tcPr>
          <w:p>
            <w:pPr>
              <w:jc w:val="center"/>
            </w:pPr>
            <w:r/>
            <w:r>
              <w:rPr>
                <w:sz w:val="20"/>
              </w:rPr>
              <w:t>Churn</w:t>
            </w:r>
          </w:p>
        </w:tc>
        <w:tc>
          <w:tcPr>
            <w:tcW w:type="dxa" w:w="2880"/>
            <w:shd w:fill="D9E2F3" w:val="clear"/>
          </w:tcPr>
          <w:p>
            <w:pPr>
              <w:jc w:val="center"/>
            </w:pPr>
            <w:r/>
            <w:r>
              <w:rPr>
                <w:sz w:val="20"/>
              </w:rPr>
              <w:t>是否流失（Yes/No）</w:t>
            </w:r>
          </w:p>
        </w:tc>
      </w:tr>
    </w:tbl>
    <w:p/>
    <w:p>
      <w:pPr>
        <w:pStyle w:val="Heading2"/>
        <w:ind w:firstLine="0"/>
      </w:pPr>
      <w:r>
        <w:t>3.2 数据分布分析</w:t>
      </w:r>
    </w:p>
    <w:p>
      <w:r>
        <w:rPr>
          <w:b w:val="0"/>
          <w:sz w:val="24"/>
        </w:rPr>
        <w:t>目标变量Churn的分布存在明显的类别不平衡：在7,043名客户中，5,174名未流失（73.46%），1,869名已流失（26.54%），流失与非流失比例约为1:2.8。图1展示了目标变量的分布情况（见附录experiments/target_distribution.png）。</w:t>
      </w:r>
    </w:p>
    <w:p>
      <w:pPr>
        <w:pStyle w:val="Heading2"/>
        <w:ind w:firstLine="0"/>
      </w:pPr>
      <w:r>
        <w:t>3.3 数据预处理流程</w:t>
      </w:r>
    </w:p>
    <w:p>
      <w:r>
        <w:rPr>
          <w:b w:val="0"/>
          <w:sz w:val="24"/>
        </w:rPr>
        <w:t>数据预处理包含以下五个步骤：</w:t>
      </w:r>
    </w:p>
    <w:p>
      <w:pPr>
        <w:pStyle w:val="ListBullet"/>
      </w:pPr>
      <w:r>
        <w:rPr>
          <w:sz w:val="24"/>
        </w:rPr>
        <w:t>缺失值处理：经检查，数据集无显式NaN缺失值，但TotalCharges列存在11个空字符串记录（对应tenure = 0的新客户），将其转为NaN后用中位数填充。</w:t>
      </w:r>
    </w:p>
    <w:p>
      <w:pPr>
        <w:pStyle w:val="ListBullet"/>
      </w:pPr>
      <w:r>
        <w:rPr>
          <w:sz w:val="24"/>
        </w:rPr>
        <w:t>无关特征移除：移除customerID列，该列为客户唯一标识符，对预测任务无贡献。</w:t>
      </w:r>
    </w:p>
    <w:p>
      <w:pPr>
        <w:pStyle w:val="ListBullet"/>
      </w:pPr>
      <w:r>
        <w:rPr>
          <w:sz w:val="24"/>
        </w:rPr>
        <w:t>目标变量编码：将Churn列中的"Yes"/"No"映射为1/0，便于模型处理。</w:t>
      </w:r>
    </w:p>
    <w:p>
      <w:pPr>
        <w:pStyle w:val="ListBullet"/>
      </w:pPr>
      <w:r>
        <w:rPr>
          <w:sz w:val="24"/>
        </w:rPr>
        <w:t>类别特征编码：对15个类别型特征（gender、Partner、Contract等）采用Label Encoding进行数值化编码。</w:t>
      </w:r>
    </w:p>
    <w:p>
      <w:pPr>
        <w:pStyle w:val="ListBullet"/>
      </w:pPr>
      <w:r>
        <w:rPr>
          <w:sz w:val="24"/>
        </w:rPr>
        <w:t>异常值检测：采用IQR（四分位距）方法对tenure、MonthlyCharges、TotalCharges三个核心数值特征进行检测。检测结果显示数据质量较好，无超出1.5倍IQR范围的异常值。</w:t>
      </w:r>
    </w:p>
    <w:p>
      <w:pPr>
        <w:pStyle w:val="Heading2"/>
        <w:ind w:firstLine="0"/>
      </w:pPr>
      <w:r>
        <w:t>3.4 数据增强策略</w:t>
      </w:r>
    </w:p>
    <w:p>
      <w:r>
        <w:rPr>
          <w:b w:val="0"/>
          <w:sz w:val="24"/>
        </w:rPr>
        <w:t>针对类别不平衡问题（流失:非流失 ≈ 1:2.8），采用SMOTE进行数据增强。SMOTE通过在特征空间中为每个少数类（流失客户）样本选择k个近邻，在样本与其近邻之间随机线性插值生成合成样本。SMOTE处理后，训练集样本数由5,634增至8,278，两类样本达到1:1平衡。值得注意的是，SMOTE仅在训练集上执行，测试集保持原始分布以真实评估模型泛化能力。</w:t>
      </w:r>
    </w:p>
    <w:p>
      <w:pPr>
        <w:pStyle w:val="Heading1"/>
        <w:ind w:firstLine="0"/>
      </w:pPr>
      <w:r>
        <w:t>4. 方法</w:t>
      </w:r>
    </w:p>
    <w:p>
      <w:pPr>
        <w:pStyle w:val="Heading2"/>
        <w:ind w:firstLine="0"/>
      </w:pPr>
      <w:r>
        <w:t>4.1 系统总体架构</w:t>
      </w:r>
    </w:p>
    <w:p>
      <w:r>
        <w:rPr>
          <w:b w:val="0"/>
          <w:sz w:val="24"/>
        </w:rPr>
        <w:t>本项目的技术架构分为四个阶段：数据层（数据加载、清洗、EDA探索性分析）、特征层（RFM特征构建、WOE分箱编码、特征重要性预筛选）、模型层（SMOTE过采样、四种分类模型训练与对比、K-Means/DBSCAN客户聚类）、应用层（SHAP可解释性分析、聚类画像、业务策略输出）。</w:t>
      </w:r>
    </w:p>
    <w:p>
      <w:pPr>
        <w:pStyle w:val="Heading2"/>
        <w:ind w:firstLine="0"/>
      </w:pPr>
      <w:r>
        <w:t>4.2 特征工程</w:t>
      </w:r>
    </w:p>
    <w:p>
      <w:pPr>
        <w:ind w:firstLine="0"/>
      </w:pPr>
      <w:r>
        <w:rPr>
          <w:b w:val="0"/>
          <w:sz w:val="24"/>
        </w:rPr>
        <w:t>特征工程是本项目的核心环节，包括RFM特征构建和WOE分箱编码两部分。</w:t>
      </w:r>
    </w:p>
    <w:p>
      <w:pPr>
        <w:ind w:firstLine="0"/>
      </w:pPr>
      <w:r>
        <w:rPr>
          <w:b/>
          <w:sz w:val="24"/>
        </w:rPr>
        <w:t>（1）RFM特征构建</w:t>
      </w:r>
    </w:p>
    <w:p>
      <w:r>
        <w:rPr>
          <w:b w:val="0"/>
          <w:sz w:val="24"/>
        </w:rPr>
        <w:t>借鉴零售领域的RFM（Recency-Frequency-Monetary）模型，为电信场景定制三个复合特征。R指标（Recency）定义为 R = 1/(tenure + 1)，数值越高表示客户越"新"，处于流失高风险期。F指标（Frequency）统计客户订阅的增值服务数量（共9项），反映使用频率和客户粘性。M指标（Monetary）直接用MonthlyCharges衡量客户消费价值。此外，构建RFM综合评分以捕捉三维特征的联合效应。</w:t>
      </w:r>
    </w:p>
    <w:p>
      <w:pPr>
        <w:ind w:firstLine="0"/>
      </w:pPr>
      <w:r>
        <w:rPr>
          <w:b/>
          <w:sz w:val="24"/>
        </w:rPr>
        <w:t>（2）WOE分箱编码</w:t>
      </w:r>
    </w:p>
    <w:p>
      <w:r>
        <w:rPr>
          <w:b w:val="0"/>
          <w:sz w:val="24"/>
        </w:rPr>
        <w:t>Weight of Evidence（证据权重）是一种有监督的离散化编码方法，尤其适用于逻辑回归等线性模型。WOE的计算方式为：对每个分箱，计算好客户（未流失）与坏客户（流失）在该分箱中占比之比的对数值，即 WOE = ln[(好客户占比) / (坏客户占比)]。WOE值反映了每个分箱中两类客户的比例差异，绝对值越大表示该分箱对预测目标的区分能力越强。本实验对tenure、MonthlyCharges、TotalCharges三个核心数值特征采用等频分箱（q = 10），生成对应的WOE编码特征。</w:t>
      </w:r>
    </w:p>
    <w:p>
      <w:pPr>
        <w:pStyle w:val="Heading2"/>
        <w:ind w:firstLine="0"/>
      </w:pPr>
      <w:r>
        <w:t>4.3 分类模型</w:t>
      </w:r>
    </w:p>
    <w:p>
      <w:pPr>
        <w:ind w:firstLine="0"/>
      </w:pPr>
      <w:r>
        <w:rPr>
          <w:b w:val="0"/>
          <w:sz w:val="24"/>
        </w:rPr>
        <w:t>本实验对比四种分类算法，参数设置如表2所示。</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
              <w:rPr>
                <w:rFonts w:ascii="黑体" w:hAnsi="黑体" w:eastAsia="黑体"/>
                <w:b/>
                <w:color w:val="FFFFFF"/>
                <w:sz w:val="20"/>
              </w:rPr>
              <w:t>模型</w:t>
            </w:r>
          </w:p>
        </w:tc>
        <w:tc>
          <w:tcPr>
            <w:tcW w:type="dxa" w:w="2160"/>
            <w:shd w:fill="4472C4" w:val="clear"/>
          </w:tcPr>
          <w:p>
            <w:pPr>
              <w:jc w:val="center"/>
            </w:pPr>
            <w:r/>
            <w:r>
              <w:rPr>
                <w:rFonts w:ascii="黑体" w:hAnsi="黑体" w:eastAsia="黑体"/>
                <w:b/>
                <w:color w:val="FFFFFF"/>
                <w:sz w:val="20"/>
              </w:rPr>
              <w:t>类型</w:t>
            </w:r>
          </w:p>
        </w:tc>
        <w:tc>
          <w:tcPr>
            <w:tcW w:type="dxa" w:w="2160"/>
            <w:shd w:fill="4472C4" w:val="clear"/>
          </w:tcPr>
          <w:p>
            <w:pPr>
              <w:jc w:val="center"/>
            </w:pPr>
            <w:r/>
            <w:r>
              <w:rPr>
                <w:rFonts w:ascii="黑体" w:hAnsi="黑体" w:eastAsia="黑体"/>
                <w:b/>
                <w:color w:val="FFFFFF"/>
                <w:sz w:val="20"/>
              </w:rPr>
              <w:t>关键参数</w:t>
            </w:r>
          </w:p>
        </w:tc>
        <w:tc>
          <w:tcPr>
            <w:tcW w:type="dxa" w:w="2160"/>
            <w:shd w:fill="4472C4" w:val="clear"/>
          </w:tcPr>
          <w:p>
            <w:pPr>
              <w:jc w:val="center"/>
            </w:pPr>
            <w:r/>
            <w:r>
              <w:rPr>
                <w:rFonts w:ascii="黑体" w:hAnsi="黑体" w:eastAsia="黑体"/>
                <w:b/>
                <w:color w:val="FFFFFF"/>
                <w:sz w:val="20"/>
              </w:rPr>
              <w:t>特点</w:t>
            </w:r>
          </w:p>
        </w:tc>
      </w:tr>
      <w:tr>
        <w:tc>
          <w:tcPr>
            <w:tcW w:type="dxa" w:w="2160"/>
          </w:tcPr>
          <w:p>
            <w:pPr>
              <w:jc w:val="center"/>
            </w:pPr>
            <w:r/>
            <w:r>
              <w:rPr>
                <w:sz w:val="20"/>
              </w:rPr>
              <w:t>逻辑回归</w:t>
            </w:r>
          </w:p>
        </w:tc>
        <w:tc>
          <w:tcPr>
            <w:tcW w:type="dxa" w:w="2160"/>
          </w:tcPr>
          <w:p>
            <w:pPr>
              <w:jc w:val="center"/>
            </w:pPr>
            <w:r/>
            <w:r>
              <w:rPr>
                <w:sz w:val="20"/>
              </w:rPr>
              <w:t>线性分类器</w:t>
            </w:r>
          </w:p>
        </w:tc>
        <w:tc>
          <w:tcPr>
            <w:tcW w:type="dxa" w:w="2160"/>
          </w:tcPr>
          <w:p>
            <w:pPr>
              <w:jc w:val="center"/>
            </w:pPr>
            <w:r/>
            <w:r>
              <w:rPr>
                <w:sz w:val="20"/>
              </w:rPr>
              <w:t>C=1.0, solver=liblinear, max_iter=1000</w:t>
            </w:r>
          </w:p>
        </w:tc>
        <w:tc>
          <w:tcPr>
            <w:tcW w:type="dxa" w:w="2160"/>
          </w:tcPr>
          <w:p>
            <w:pPr>
              <w:jc w:val="center"/>
            </w:pPr>
            <w:r/>
            <w:r>
              <w:rPr>
                <w:sz w:val="20"/>
              </w:rPr>
              <w:t>可解释性强，训练快速，作为线性基线</w:t>
            </w:r>
          </w:p>
        </w:tc>
      </w:tr>
      <w:tr>
        <w:tc>
          <w:tcPr>
            <w:tcW w:type="dxa" w:w="2160"/>
            <w:shd w:fill="D9E2F3" w:val="clear"/>
          </w:tcPr>
          <w:p>
            <w:pPr>
              <w:jc w:val="center"/>
            </w:pPr>
            <w:r/>
            <w:r>
              <w:rPr>
                <w:sz w:val="20"/>
              </w:rPr>
              <w:t>随机森林</w:t>
            </w:r>
          </w:p>
        </w:tc>
        <w:tc>
          <w:tcPr>
            <w:tcW w:type="dxa" w:w="2160"/>
            <w:shd w:fill="D9E2F3" w:val="clear"/>
          </w:tcPr>
          <w:p>
            <w:pPr>
              <w:jc w:val="center"/>
            </w:pPr>
            <w:r/>
            <w:r>
              <w:rPr>
                <w:sz w:val="20"/>
              </w:rPr>
              <w:t>Bagging集成</w:t>
            </w:r>
          </w:p>
        </w:tc>
        <w:tc>
          <w:tcPr>
            <w:tcW w:type="dxa" w:w="2160"/>
            <w:shd w:fill="D9E2F3" w:val="clear"/>
          </w:tcPr>
          <w:p>
            <w:pPr>
              <w:jc w:val="center"/>
            </w:pPr>
            <w:r/>
            <w:r>
              <w:rPr>
                <w:sz w:val="20"/>
              </w:rPr>
              <w:t>n_estimators=200, max_depth=10, min_samples_split=10</w:t>
            </w:r>
          </w:p>
        </w:tc>
        <w:tc>
          <w:tcPr>
            <w:tcW w:type="dxa" w:w="2160"/>
            <w:shd w:fill="D9E2F3" w:val="clear"/>
          </w:tcPr>
          <w:p>
            <w:pPr>
              <w:jc w:val="center"/>
            </w:pPr>
            <w:r/>
            <w:r>
              <w:rPr>
                <w:sz w:val="20"/>
              </w:rPr>
              <w:t>抗过拟合，特征重要性评估，无需特征缩放</w:t>
            </w:r>
          </w:p>
        </w:tc>
      </w:tr>
      <w:tr>
        <w:tc>
          <w:tcPr>
            <w:tcW w:type="dxa" w:w="2160"/>
          </w:tcPr>
          <w:p>
            <w:pPr>
              <w:jc w:val="center"/>
            </w:pPr>
            <w:r/>
            <w:r>
              <w:rPr>
                <w:sz w:val="20"/>
              </w:rPr>
              <w:t>XGBoost</w:t>
            </w:r>
          </w:p>
        </w:tc>
        <w:tc>
          <w:tcPr>
            <w:tcW w:type="dxa" w:w="2160"/>
          </w:tcPr>
          <w:p>
            <w:pPr>
              <w:jc w:val="center"/>
            </w:pPr>
            <w:r/>
            <w:r>
              <w:rPr>
                <w:sz w:val="20"/>
              </w:rPr>
              <w:t>Boosting集成</w:t>
            </w:r>
          </w:p>
        </w:tc>
        <w:tc>
          <w:tcPr>
            <w:tcW w:type="dxa" w:w="2160"/>
          </w:tcPr>
          <w:p>
            <w:pPr>
              <w:jc w:val="center"/>
            </w:pPr>
            <w:r/>
            <w:r>
              <w:rPr>
                <w:sz w:val="20"/>
              </w:rPr>
              <w:t>n_estimators=200, max_depth=6, lr=0.1, subsample=0.8</w:t>
            </w:r>
          </w:p>
        </w:tc>
        <w:tc>
          <w:tcPr>
            <w:tcW w:type="dxa" w:w="2160"/>
          </w:tcPr>
          <w:p>
            <w:pPr>
              <w:jc w:val="center"/>
            </w:pPr>
            <w:r/>
            <w:r>
              <w:rPr>
                <w:sz w:val="20"/>
              </w:rPr>
              <w:t>L1/L2正则化，梯度提升框架，工业界首选</w:t>
            </w:r>
          </w:p>
        </w:tc>
      </w:tr>
      <w:tr>
        <w:tc>
          <w:tcPr>
            <w:tcW w:type="dxa" w:w="2160"/>
            <w:shd w:fill="D9E2F3" w:val="clear"/>
          </w:tcPr>
          <w:p>
            <w:pPr>
              <w:jc w:val="center"/>
            </w:pPr>
            <w:r/>
            <w:r>
              <w:rPr>
                <w:sz w:val="20"/>
              </w:rPr>
              <w:t>LightGBM</w:t>
            </w:r>
          </w:p>
        </w:tc>
        <w:tc>
          <w:tcPr>
            <w:tcW w:type="dxa" w:w="2160"/>
            <w:shd w:fill="D9E2F3" w:val="clear"/>
          </w:tcPr>
          <w:p>
            <w:pPr>
              <w:jc w:val="center"/>
            </w:pPr>
            <w:r/>
            <w:r>
              <w:rPr>
                <w:sz w:val="20"/>
              </w:rPr>
              <w:t>Boosting集成</w:t>
            </w:r>
          </w:p>
        </w:tc>
        <w:tc>
          <w:tcPr>
            <w:tcW w:type="dxa" w:w="2160"/>
            <w:shd w:fill="D9E2F3" w:val="clear"/>
          </w:tcPr>
          <w:p>
            <w:pPr>
              <w:jc w:val="center"/>
            </w:pPr>
            <w:r/>
            <w:r>
              <w:rPr>
                <w:sz w:val="20"/>
              </w:rPr>
              <w:t>n_estimators=200, max_depth=6, lr=0.1, num_leaves=31</w:t>
            </w:r>
          </w:p>
        </w:tc>
        <w:tc>
          <w:tcPr>
            <w:tcW w:type="dxa" w:w="2160"/>
            <w:shd w:fill="D9E2F3" w:val="clear"/>
          </w:tcPr>
          <w:p>
            <w:pPr>
              <w:jc w:val="center"/>
            </w:pPr>
            <w:r/>
            <w:r>
              <w:rPr>
                <w:sz w:val="20"/>
              </w:rPr>
              <w:t>直方图算法，leaf-wise生长，速度快，内存省</w:t>
            </w:r>
          </w:p>
        </w:tc>
      </w:tr>
    </w:tbl>
    <w:p/>
    <w:p>
      <w:pPr>
        <w:pStyle w:val="Heading2"/>
        <w:ind w:firstLine="0"/>
      </w:pPr>
      <w:r>
        <w:t>4.4 损失函数与优化器</w:t>
      </w:r>
    </w:p>
    <w:p>
      <w:r>
        <w:rPr>
          <w:b w:val="0"/>
          <w:sz w:val="24"/>
        </w:rPr>
        <w:t>逻辑回归使用交叉熵损失（Cross-Entropy Loss），优化器为liblinear（坐标下降法）。XGBoost和LightGBM使用二分类对数损失（Binary Logloss），优化器为各自的梯度提升框架。随机森林基于基尼不纯度（Gini Impurity）进行节点分裂，不需要梯度优化。</w:t>
      </w:r>
    </w:p>
    <w:p>
      <w:pPr>
        <w:pStyle w:val="Heading2"/>
        <w:ind w:firstLine="0"/>
      </w:pPr>
      <w:r>
        <w:t>4.5 评估策略</w:t>
      </w:r>
    </w:p>
    <w:p>
      <w:r>
        <w:rPr>
          <w:b w:val="0"/>
          <w:sz w:val="24"/>
        </w:rPr>
        <w:t>评估指标包括Accuracy（准确率）、Precision（精确率）、Recall（召回率）、F1-Score、ROC-AUC和PR-AUC六项。其中ROC-AUC是模型区分能力的综合指标，Recall直接反映流失客户的识别率，PR-AUC在不平衡场景下比ROC-AUC更具参考价值。验证方法采用5折分层交叉验证（StratifiedKFold, shuffle = True），数据按80%训练/20%测试分层划分（stratify = y）。交叉验证使用imblearn Pipeline在每个训练折内部执行SMOTE，测试集保持原始分布。随机种子固定为42，确保实验完全可复现。</w:t>
      </w:r>
    </w:p>
    <w:p>
      <w:pPr>
        <w:pStyle w:val="Heading2"/>
        <w:ind w:firstLine="0"/>
      </w:pPr>
      <w:r>
        <w:t>4.6 客户聚类</w:t>
      </w:r>
    </w:p>
    <w:p>
      <w:r>
        <w:rPr>
          <w:b w:val="0"/>
          <w:sz w:val="24"/>
        </w:rPr>
        <w:t>K-Means聚类基于RFM特征（tenure, MonthlyCharges, TotalCharges, R_Score, F_Score, M_Score, RFM_Total），先通过标准化消除量纲差异，再使用肘部法则（Elbow Method）和轮廓系数（Silhouette Score）联合确定最佳K值（K = 4）。为对比验证，同时采用DBSCAN（eps = 0.5, min_samples = 10）进行基于密度的聚类，识别异常客户群体（噪声点）。</w:t>
      </w:r>
    </w:p>
    <w:p>
      <w:pPr>
        <w:pStyle w:val="Heading2"/>
        <w:ind w:firstLine="0"/>
      </w:pPr>
      <w:r>
        <w:t>4.7 模型可解释性</w:t>
      </w:r>
    </w:p>
    <w:p>
      <w:r>
        <w:rPr>
          <w:b w:val="0"/>
          <w:sz w:val="24"/>
        </w:rPr>
        <w:t>使用SHAP（SHapley Additive exPlanations）进行模型解释。SHAP值基于博弈论中Shapley值的理论框架，将每个预测结果分解为各特征的贡献之和。对于树模型，采用TreeExplainer实现高效的SHAP值计算；分析时采样500个训练样本以平衡计算效率与统计代表性。</w:t>
      </w:r>
    </w:p>
    <w:p>
      <w:pPr>
        <w:pStyle w:val="Heading1"/>
        <w:ind w:firstLine="0"/>
      </w:pPr>
      <w:r>
        <w:t>5. 实验</w:t>
      </w:r>
    </w:p>
    <w:p>
      <w:pPr>
        <w:pStyle w:val="Heading2"/>
        <w:ind w:firstLine="0"/>
      </w:pPr>
      <w:r>
        <w:t>5.1 实验设计</w:t>
      </w:r>
    </w:p>
    <w:p>
      <w:r>
        <w:rPr>
          <w:b w:val="0"/>
          <w:sz w:val="24"/>
        </w:rPr>
        <w:t>本实验包含三个层次的对比：（1）模型层面——逻辑回归 vs 随机森林 vs XGBoost vs LightGBM；（2）特征与不平衡处理层面——Base、Base+RFM、Base+RFM+WOE、Base+RFM+WOE+SMOTE四组消融对比；（3）聚类层面——K-Means（固定簇数）vs DBSCAN（密度自适应）。</w:t>
      </w:r>
    </w:p>
    <w:p>
      <w:pPr>
        <w:pStyle w:val="Heading2"/>
        <w:ind w:firstLine="0"/>
      </w:pPr>
      <w:r>
        <w:t>5.2 5折交叉验证结果</w:t>
      </w:r>
    </w:p>
    <w:p>
      <w:pPr>
        <w:ind w:firstLine="0"/>
      </w:pPr>
      <w:r>
        <w:rPr>
          <w:b w:val="0"/>
          <w:sz w:val="24"/>
        </w:rPr>
        <w:t>使用5折分层交叉验证评估模型稳定性。为避免数据泄漏，SMOTE被封装在imblearn Pipeline中，仅在每个训练折内部拟合与重采样，验证折保持原始分布。结果如表3所示。</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472C4" w:val="clear"/>
          </w:tcPr>
          <w:p>
            <w:pPr>
              <w:jc w:val="center"/>
            </w:pPr>
            <w:r/>
            <w:r>
              <w:rPr>
                <w:rFonts w:ascii="黑体" w:hAnsi="黑体" w:eastAsia="黑体"/>
                <w:b/>
                <w:color w:val="FFFFFF"/>
                <w:sz w:val="20"/>
              </w:rPr>
              <w:t>模型</w:t>
            </w:r>
          </w:p>
        </w:tc>
        <w:tc>
          <w:tcPr>
            <w:tcW w:type="dxa" w:w="1440"/>
            <w:shd w:fill="4472C4" w:val="clear"/>
          </w:tcPr>
          <w:p>
            <w:pPr>
              <w:jc w:val="center"/>
            </w:pPr>
            <w:r/>
            <w:r>
              <w:rPr>
                <w:rFonts w:ascii="黑体" w:hAnsi="黑体" w:eastAsia="黑体"/>
                <w:b/>
                <w:color w:val="FFFFFF"/>
                <w:sz w:val="20"/>
              </w:rPr>
              <w:t>Accuracy</w:t>
            </w:r>
          </w:p>
        </w:tc>
        <w:tc>
          <w:tcPr>
            <w:tcW w:type="dxa" w:w="1440"/>
            <w:shd w:fill="4472C4" w:val="clear"/>
          </w:tcPr>
          <w:p>
            <w:pPr>
              <w:jc w:val="center"/>
            </w:pPr>
            <w:r/>
            <w:r>
              <w:rPr>
                <w:rFonts w:ascii="黑体" w:hAnsi="黑体" w:eastAsia="黑体"/>
                <w:b/>
                <w:color w:val="FFFFFF"/>
                <w:sz w:val="20"/>
              </w:rPr>
              <w:t>Precision</w:t>
            </w:r>
          </w:p>
        </w:tc>
        <w:tc>
          <w:tcPr>
            <w:tcW w:type="dxa" w:w="1440"/>
            <w:shd w:fill="4472C4" w:val="clear"/>
          </w:tcPr>
          <w:p>
            <w:pPr>
              <w:jc w:val="center"/>
            </w:pPr>
            <w:r/>
            <w:r>
              <w:rPr>
                <w:rFonts w:ascii="黑体" w:hAnsi="黑体" w:eastAsia="黑体"/>
                <w:b/>
                <w:color w:val="FFFFFF"/>
                <w:sz w:val="20"/>
              </w:rPr>
              <w:t>Recall</w:t>
            </w:r>
          </w:p>
        </w:tc>
        <w:tc>
          <w:tcPr>
            <w:tcW w:type="dxa" w:w="1440"/>
            <w:shd w:fill="4472C4" w:val="clear"/>
          </w:tcPr>
          <w:p>
            <w:pPr>
              <w:jc w:val="center"/>
            </w:pPr>
            <w:r/>
            <w:r>
              <w:rPr>
                <w:rFonts w:ascii="黑体" w:hAnsi="黑体" w:eastAsia="黑体"/>
                <w:b/>
                <w:color w:val="FFFFFF"/>
                <w:sz w:val="20"/>
              </w:rPr>
              <w:t>F1</w:t>
            </w:r>
          </w:p>
        </w:tc>
        <w:tc>
          <w:tcPr>
            <w:tcW w:type="dxa" w:w="1440"/>
            <w:shd w:fill="4472C4" w:val="clear"/>
          </w:tcPr>
          <w:p>
            <w:pPr>
              <w:jc w:val="center"/>
            </w:pPr>
            <w:r/>
            <w:r>
              <w:rPr>
                <w:rFonts w:ascii="黑体" w:hAnsi="黑体" w:eastAsia="黑体"/>
                <w:b/>
                <w:color w:val="FFFFFF"/>
                <w:sz w:val="20"/>
              </w:rPr>
              <w:t>ROC-AUC</w:t>
            </w:r>
          </w:p>
        </w:tc>
      </w:tr>
      <w:tr>
        <w:tc>
          <w:tcPr>
            <w:tcW w:type="dxa" w:w="1440"/>
          </w:tcPr>
          <w:p>
            <w:pPr>
              <w:jc w:val="center"/>
            </w:pPr>
            <w:r/>
            <w:r>
              <w:rPr>
                <w:sz w:val="20"/>
              </w:rPr>
              <w:t>Logistic Regression</w:t>
            </w:r>
          </w:p>
        </w:tc>
        <w:tc>
          <w:tcPr>
            <w:tcW w:type="dxa" w:w="1440"/>
          </w:tcPr>
          <w:p>
            <w:pPr>
              <w:jc w:val="center"/>
            </w:pPr>
            <w:r/>
            <w:r>
              <w:rPr>
                <w:sz w:val="20"/>
              </w:rPr>
              <w:t>0.7650 ± 0.0154</w:t>
            </w:r>
          </w:p>
        </w:tc>
        <w:tc>
          <w:tcPr>
            <w:tcW w:type="dxa" w:w="1440"/>
          </w:tcPr>
          <w:p>
            <w:pPr>
              <w:jc w:val="center"/>
            </w:pPr>
            <w:r/>
            <w:r>
              <w:rPr>
                <w:sz w:val="20"/>
              </w:rPr>
              <w:t>0.5443 ± 0.0232</w:t>
            </w:r>
          </w:p>
        </w:tc>
        <w:tc>
          <w:tcPr>
            <w:tcW w:type="dxa" w:w="1440"/>
          </w:tcPr>
          <w:p>
            <w:pPr>
              <w:jc w:val="center"/>
            </w:pPr>
            <w:r/>
            <w:r>
              <w:rPr>
                <w:sz w:val="20"/>
              </w:rPr>
              <w:t>0.7050 ± 0.0347</w:t>
            </w:r>
          </w:p>
        </w:tc>
        <w:tc>
          <w:tcPr>
            <w:tcW w:type="dxa" w:w="1440"/>
          </w:tcPr>
          <w:p>
            <w:pPr>
              <w:jc w:val="center"/>
            </w:pPr>
            <w:r/>
            <w:r>
              <w:rPr>
                <w:sz w:val="20"/>
              </w:rPr>
              <w:t>0.6141 ± 0.0257</w:t>
            </w:r>
          </w:p>
        </w:tc>
        <w:tc>
          <w:tcPr>
            <w:tcW w:type="dxa" w:w="1440"/>
          </w:tcPr>
          <w:p>
            <w:pPr>
              <w:jc w:val="center"/>
            </w:pPr>
            <w:r/>
            <w:r>
              <w:rPr>
                <w:sz w:val="20"/>
              </w:rPr>
              <w:t>0.8349 ± 0.0128</w:t>
            </w:r>
          </w:p>
        </w:tc>
      </w:tr>
      <w:tr>
        <w:tc>
          <w:tcPr>
            <w:tcW w:type="dxa" w:w="1440"/>
            <w:shd w:fill="D9E2F3" w:val="clear"/>
          </w:tcPr>
          <w:p>
            <w:pPr>
              <w:jc w:val="center"/>
            </w:pPr>
            <w:r/>
            <w:r>
              <w:rPr>
                <w:sz w:val="20"/>
              </w:rPr>
              <w:t>Random Forest</w:t>
            </w:r>
          </w:p>
        </w:tc>
        <w:tc>
          <w:tcPr>
            <w:tcW w:type="dxa" w:w="1440"/>
            <w:shd w:fill="D9E2F3" w:val="clear"/>
          </w:tcPr>
          <w:p>
            <w:pPr>
              <w:jc w:val="center"/>
            </w:pPr>
            <w:r/>
            <w:r>
              <w:rPr>
                <w:sz w:val="20"/>
              </w:rPr>
              <w:t>0.7772 ± 0.0112</w:t>
            </w:r>
          </w:p>
        </w:tc>
        <w:tc>
          <w:tcPr>
            <w:tcW w:type="dxa" w:w="1440"/>
            <w:shd w:fill="D9E2F3" w:val="clear"/>
          </w:tcPr>
          <w:p>
            <w:pPr>
              <w:jc w:val="center"/>
            </w:pPr>
            <w:r/>
            <w:r>
              <w:rPr>
                <w:sz w:val="20"/>
              </w:rPr>
              <w:t>0.5657 ± 0.0173</w:t>
            </w:r>
          </w:p>
        </w:tc>
        <w:tc>
          <w:tcPr>
            <w:tcW w:type="dxa" w:w="1440"/>
            <w:shd w:fill="D9E2F3" w:val="clear"/>
          </w:tcPr>
          <w:p>
            <w:pPr>
              <w:jc w:val="center"/>
            </w:pPr>
            <w:r/>
            <w:r>
              <w:rPr>
                <w:sz w:val="20"/>
              </w:rPr>
              <w:t>0.6903 ± 0.0419</w:t>
            </w:r>
          </w:p>
        </w:tc>
        <w:tc>
          <w:tcPr>
            <w:tcW w:type="dxa" w:w="1440"/>
            <w:shd w:fill="D9E2F3" w:val="clear"/>
          </w:tcPr>
          <w:p>
            <w:pPr>
              <w:jc w:val="center"/>
            </w:pPr>
            <w:r/>
            <w:r>
              <w:rPr>
                <w:sz w:val="20"/>
              </w:rPr>
              <w:t>0.6214 ± 0.0243</w:t>
            </w:r>
          </w:p>
        </w:tc>
        <w:tc>
          <w:tcPr>
            <w:tcW w:type="dxa" w:w="1440"/>
            <w:shd w:fill="D9E2F3" w:val="clear"/>
          </w:tcPr>
          <w:p>
            <w:pPr>
              <w:jc w:val="center"/>
            </w:pPr>
            <w:r/>
            <w:r>
              <w:rPr>
                <w:sz w:val="20"/>
              </w:rPr>
              <w:t>0.8393 ± 0.0095</w:t>
            </w:r>
          </w:p>
        </w:tc>
      </w:tr>
      <w:tr>
        <w:tc>
          <w:tcPr>
            <w:tcW w:type="dxa" w:w="1440"/>
          </w:tcPr>
          <w:p>
            <w:pPr>
              <w:jc w:val="center"/>
            </w:pPr>
            <w:r/>
            <w:r>
              <w:rPr>
                <w:sz w:val="20"/>
              </w:rPr>
              <w:t>XGBoost</w:t>
            </w:r>
          </w:p>
        </w:tc>
        <w:tc>
          <w:tcPr>
            <w:tcW w:type="dxa" w:w="1440"/>
          </w:tcPr>
          <w:p>
            <w:pPr>
              <w:jc w:val="center"/>
            </w:pPr>
            <w:r/>
            <w:r>
              <w:rPr>
                <w:sz w:val="20"/>
              </w:rPr>
              <w:t>0.7790 ± 0.0046</w:t>
            </w:r>
          </w:p>
        </w:tc>
        <w:tc>
          <w:tcPr>
            <w:tcW w:type="dxa" w:w="1440"/>
          </w:tcPr>
          <w:p>
            <w:pPr>
              <w:jc w:val="center"/>
            </w:pPr>
            <w:r/>
            <w:r>
              <w:rPr>
                <w:sz w:val="20"/>
              </w:rPr>
              <w:t>0.5866 ± 0.0118</w:t>
            </w:r>
          </w:p>
        </w:tc>
        <w:tc>
          <w:tcPr>
            <w:tcW w:type="dxa" w:w="1440"/>
          </w:tcPr>
          <w:p>
            <w:pPr>
              <w:jc w:val="center"/>
            </w:pPr>
            <w:r/>
            <w:r>
              <w:rPr>
                <w:sz w:val="20"/>
              </w:rPr>
              <w:t>0.5686 ± 0.0186</w:t>
            </w:r>
          </w:p>
        </w:tc>
        <w:tc>
          <w:tcPr>
            <w:tcW w:type="dxa" w:w="1440"/>
          </w:tcPr>
          <w:p>
            <w:pPr>
              <w:jc w:val="center"/>
            </w:pPr>
            <w:r/>
            <w:r>
              <w:rPr>
                <w:sz w:val="20"/>
              </w:rPr>
              <w:t>0.5771 ± 0.0089</w:t>
            </w:r>
          </w:p>
        </w:tc>
        <w:tc>
          <w:tcPr>
            <w:tcW w:type="dxa" w:w="1440"/>
          </w:tcPr>
          <w:p>
            <w:pPr>
              <w:jc w:val="center"/>
            </w:pPr>
            <w:r/>
            <w:r>
              <w:rPr>
                <w:sz w:val="20"/>
              </w:rPr>
              <w:t>0.8210 ± 0.0060</w:t>
            </w:r>
          </w:p>
        </w:tc>
      </w:tr>
      <w:tr>
        <w:tc>
          <w:tcPr>
            <w:tcW w:type="dxa" w:w="1440"/>
            <w:shd w:fill="D9E2F3" w:val="clear"/>
          </w:tcPr>
          <w:p>
            <w:pPr>
              <w:jc w:val="center"/>
            </w:pPr>
            <w:r/>
            <w:r>
              <w:rPr>
                <w:sz w:val="20"/>
              </w:rPr>
              <w:t>LightGBM</w:t>
            </w:r>
          </w:p>
        </w:tc>
        <w:tc>
          <w:tcPr>
            <w:tcW w:type="dxa" w:w="1440"/>
            <w:shd w:fill="D9E2F3" w:val="clear"/>
          </w:tcPr>
          <w:p>
            <w:pPr>
              <w:jc w:val="center"/>
            </w:pPr>
            <w:r/>
            <w:r>
              <w:rPr>
                <w:sz w:val="20"/>
              </w:rPr>
              <w:t>0.7796 ± 0.0093</w:t>
            </w:r>
          </w:p>
        </w:tc>
        <w:tc>
          <w:tcPr>
            <w:tcW w:type="dxa" w:w="1440"/>
            <w:shd w:fill="D9E2F3" w:val="clear"/>
          </w:tcPr>
          <w:p>
            <w:pPr>
              <w:jc w:val="center"/>
            </w:pPr>
            <w:r/>
            <w:r>
              <w:rPr>
                <w:sz w:val="20"/>
              </w:rPr>
              <w:t>0.5852 ± 0.0159</w:t>
            </w:r>
          </w:p>
        </w:tc>
        <w:tc>
          <w:tcPr>
            <w:tcW w:type="dxa" w:w="1440"/>
            <w:shd w:fill="D9E2F3" w:val="clear"/>
          </w:tcPr>
          <w:p>
            <w:pPr>
              <w:jc w:val="center"/>
            </w:pPr>
            <w:r/>
            <w:r>
              <w:rPr>
                <w:sz w:val="20"/>
              </w:rPr>
              <w:t>0.5793 ± 0.0364</w:t>
            </w:r>
          </w:p>
        </w:tc>
        <w:tc>
          <w:tcPr>
            <w:tcW w:type="dxa" w:w="1440"/>
            <w:shd w:fill="D9E2F3" w:val="clear"/>
          </w:tcPr>
          <w:p>
            <w:pPr>
              <w:jc w:val="center"/>
            </w:pPr>
            <w:r/>
            <w:r>
              <w:rPr>
                <w:sz w:val="20"/>
              </w:rPr>
              <w:t>0.5819 ± 0.0247</w:t>
            </w:r>
          </w:p>
        </w:tc>
        <w:tc>
          <w:tcPr>
            <w:tcW w:type="dxa" w:w="1440"/>
            <w:shd w:fill="D9E2F3" w:val="clear"/>
          </w:tcPr>
          <w:p>
            <w:pPr>
              <w:jc w:val="center"/>
            </w:pPr>
            <w:r/>
            <w:r>
              <w:rPr>
                <w:sz w:val="20"/>
              </w:rPr>
              <w:t>0.8229 ± 0.0054</w:t>
            </w:r>
          </w:p>
        </w:tc>
      </w:tr>
    </w:tbl>
    <w:p/>
    <w:p>
      <w:r>
        <w:rPr>
          <w:b w:val="0"/>
          <w:sz w:val="24"/>
        </w:rPr>
        <w:t>在折内SMOTE交叉验证下，随机森林以ROC-AUC = 0.8393位居第一，逻辑回归紧随其后（ROC-AUC = 0.8349）。与旧的“先SMOTE再交叉验证”口径相比，该结果更接近真实泛化表现，也更符合无数据泄漏的实验规范。</w:t>
      </w:r>
    </w:p>
    <w:p>
      <w:pPr>
        <w:pStyle w:val="Heading2"/>
        <w:ind w:firstLine="0"/>
      </w:pPr>
      <w:r>
        <w:t>5.3 测试集评估结果</w:t>
      </w:r>
    </w:p>
    <w:p>
      <w:pPr>
        <w:ind w:firstLine="0"/>
      </w:pPr>
      <w:r>
        <w:rPr>
          <w:b w:val="0"/>
          <w:sz w:val="24"/>
        </w:rPr>
        <w:t>在保持原始分布（流失率26.54%）的真实测试集上评估，结果如表4所示。这是最能反映模型实际应用价值的评估场景。</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4472C4" w:val="clear"/>
          </w:tcPr>
          <w:p>
            <w:pPr>
              <w:jc w:val="center"/>
            </w:pPr>
            <w:r/>
            <w:r>
              <w:rPr>
                <w:rFonts w:ascii="黑体" w:hAnsi="黑体" w:eastAsia="黑体"/>
                <w:b/>
                <w:color w:val="FFFFFF"/>
                <w:sz w:val="20"/>
              </w:rPr>
              <w:t>模型</w:t>
            </w:r>
          </w:p>
        </w:tc>
        <w:tc>
          <w:tcPr>
            <w:tcW w:type="dxa" w:w="1234"/>
            <w:shd w:fill="4472C4" w:val="clear"/>
          </w:tcPr>
          <w:p>
            <w:pPr>
              <w:jc w:val="center"/>
            </w:pPr>
            <w:r/>
            <w:r>
              <w:rPr>
                <w:rFonts w:ascii="黑体" w:hAnsi="黑体" w:eastAsia="黑体"/>
                <w:b/>
                <w:color w:val="FFFFFF"/>
                <w:sz w:val="20"/>
              </w:rPr>
              <w:t>Accuracy</w:t>
            </w:r>
          </w:p>
        </w:tc>
        <w:tc>
          <w:tcPr>
            <w:tcW w:type="dxa" w:w="1234"/>
            <w:shd w:fill="4472C4" w:val="clear"/>
          </w:tcPr>
          <w:p>
            <w:pPr>
              <w:jc w:val="center"/>
            </w:pPr>
            <w:r/>
            <w:r>
              <w:rPr>
                <w:rFonts w:ascii="黑体" w:hAnsi="黑体" w:eastAsia="黑体"/>
                <w:b/>
                <w:color w:val="FFFFFF"/>
                <w:sz w:val="20"/>
              </w:rPr>
              <w:t>Precision</w:t>
            </w:r>
          </w:p>
        </w:tc>
        <w:tc>
          <w:tcPr>
            <w:tcW w:type="dxa" w:w="1234"/>
            <w:shd w:fill="4472C4" w:val="clear"/>
          </w:tcPr>
          <w:p>
            <w:pPr>
              <w:jc w:val="center"/>
            </w:pPr>
            <w:r/>
            <w:r>
              <w:rPr>
                <w:rFonts w:ascii="黑体" w:hAnsi="黑体" w:eastAsia="黑体"/>
                <w:b/>
                <w:color w:val="FFFFFF"/>
                <w:sz w:val="20"/>
              </w:rPr>
              <w:t>Recall</w:t>
            </w:r>
          </w:p>
        </w:tc>
        <w:tc>
          <w:tcPr>
            <w:tcW w:type="dxa" w:w="1234"/>
            <w:shd w:fill="4472C4" w:val="clear"/>
          </w:tcPr>
          <w:p>
            <w:pPr>
              <w:jc w:val="center"/>
            </w:pPr>
            <w:r/>
            <w:r>
              <w:rPr>
                <w:rFonts w:ascii="黑体" w:hAnsi="黑体" w:eastAsia="黑体"/>
                <w:b/>
                <w:color w:val="FFFFFF"/>
                <w:sz w:val="20"/>
              </w:rPr>
              <w:t>F1</w:t>
            </w:r>
          </w:p>
        </w:tc>
        <w:tc>
          <w:tcPr>
            <w:tcW w:type="dxa" w:w="1234"/>
            <w:shd w:fill="4472C4" w:val="clear"/>
          </w:tcPr>
          <w:p>
            <w:pPr>
              <w:jc w:val="center"/>
            </w:pPr>
            <w:r/>
            <w:r>
              <w:rPr>
                <w:rFonts w:ascii="黑体" w:hAnsi="黑体" w:eastAsia="黑体"/>
                <w:b/>
                <w:color w:val="FFFFFF"/>
                <w:sz w:val="20"/>
              </w:rPr>
              <w:t>ROC-AUC</w:t>
            </w:r>
          </w:p>
        </w:tc>
        <w:tc>
          <w:tcPr>
            <w:tcW w:type="dxa" w:w="1234"/>
            <w:shd w:fill="4472C4" w:val="clear"/>
          </w:tcPr>
          <w:p>
            <w:pPr>
              <w:jc w:val="center"/>
            </w:pPr>
            <w:r/>
            <w:r>
              <w:rPr>
                <w:rFonts w:ascii="黑体" w:hAnsi="黑体" w:eastAsia="黑体"/>
                <w:b/>
                <w:color w:val="FFFFFF"/>
                <w:sz w:val="20"/>
              </w:rPr>
              <w:t>PR-AUC</w:t>
            </w:r>
          </w:p>
        </w:tc>
      </w:tr>
      <w:tr>
        <w:tc>
          <w:tcPr>
            <w:tcW w:type="dxa" w:w="1234"/>
          </w:tcPr>
          <w:p>
            <w:pPr>
              <w:jc w:val="center"/>
            </w:pPr>
            <w:r/>
            <w:r>
              <w:rPr>
                <w:sz w:val="20"/>
              </w:rPr>
              <w:t>Logistic Regression</w:t>
            </w:r>
          </w:p>
        </w:tc>
        <w:tc>
          <w:tcPr>
            <w:tcW w:type="dxa" w:w="1234"/>
          </w:tcPr>
          <w:p>
            <w:pPr>
              <w:jc w:val="center"/>
            </w:pPr>
            <w:r/>
            <w:r>
              <w:rPr>
                <w:sz w:val="20"/>
              </w:rPr>
              <w:t>0.7622</w:t>
            </w:r>
          </w:p>
        </w:tc>
        <w:tc>
          <w:tcPr>
            <w:tcW w:type="dxa" w:w="1234"/>
          </w:tcPr>
          <w:p>
            <w:pPr>
              <w:jc w:val="center"/>
            </w:pPr>
            <w:r/>
            <w:r>
              <w:rPr>
                <w:sz w:val="20"/>
              </w:rPr>
              <w:t>0.5404</w:t>
            </w:r>
          </w:p>
        </w:tc>
        <w:tc>
          <w:tcPr>
            <w:tcW w:type="dxa" w:w="1234"/>
          </w:tcPr>
          <w:p>
            <w:pPr>
              <w:jc w:val="center"/>
            </w:pPr>
            <w:r/>
            <w:r>
              <w:rPr>
                <w:sz w:val="20"/>
              </w:rPr>
              <w:t>0.6979</w:t>
            </w:r>
          </w:p>
        </w:tc>
        <w:tc>
          <w:tcPr>
            <w:tcW w:type="dxa" w:w="1234"/>
          </w:tcPr>
          <w:p>
            <w:pPr>
              <w:jc w:val="center"/>
            </w:pPr>
            <w:r/>
            <w:r>
              <w:rPr>
                <w:sz w:val="20"/>
              </w:rPr>
              <w:t>0.6091</w:t>
            </w:r>
          </w:p>
        </w:tc>
        <w:tc>
          <w:tcPr>
            <w:tcW w:type="dxa" w:w="1234"/>
          </w:tcPr>
          <w:p>
            <w:pPr>
              <w:jc w:val="center"/>
            </w:pPr>
            <w:r/>
            <w:r>
              <w:rPr>
                <w:sz w:val="20"/>
              </w:rPr>
              <w:t>0.8364</w:t>
            </w:r>
          </w:p>
        </w:tc>
        <w:tc>
          <w:tcPr>
            <w:tcW w:type="dxa" w:w="1234"/>
          </w:tcPr>
          <w:p>
            <w:pPr>
              <w:jc w:val="center"/>
            </w:pPr>
            <w:r/>
            <w:r>
              <w:rPr>
                <w:sz w:val="20"/>
              </w:rPr>
              <w:t>0.6582</w:t>
            </w:r>
          </w:p>
        </w:tc>
      </w:tr>
      <w:tr>
        <w:tc>
          <w:tcPr>
            <w:tcW w:type="dxa" w:w="1234"/>
            <w:shd w:fill="D9E2F3" w:val="clear"/>
          </w:tcPr>
          <w:p>
            <w:pPr>
              <w:jc w:val="center"/>
            </w:pPr>
            <w:r/>
            <w:r>
              <w:rPr>
                <w:sz w:val="20"/>
              </w:rPr>
              <w:t>Random Forest</w:t>
            </w:r>
          </w:p>
        </w:tc>
        <w:tc>
          <w:tcPr>
            <w:tcW w:type="dxa" w:w="1234"/>
            <w:shd w:fill="D9E2F3" w:val="clear"/>
          </w:tcPr>
          <w:p>
            <w:pPr>
              <w:jc w:val="center"/>
            </w:pPr>
            <w:r/>
            <w:r>
              <w:rPr>
                <w:sz w:val="20"/>
              </w:rPr>
              <w:t>0.7786</w:t>
            </w:r>
          </w:p>
        </w:tc>
        <w:tc>
          <w:tcPr>
            <w:tcW w:type="dxa" w:w="1234"/>
            <w:shd w:fill="D9E2F3" w:val="clear"/>
          </w:tcPr>
          <w:p>
            <w:pPr>
              <w:jc w:val="center"/>
            </w:pPr>
            <w:r/>
            <w:r>
              <w:rPr>
                <w:sz w:val="20"/>
              </w:rPr>
              <w:t>0.5662</w:t>
            </w:r>
          </w:p>
        </w:tc>
        <w:tc>
          <w:tcPr>
            <w:tcW w:type="dxa" w:w="1234"/>
            <w:shd w:fill="D9E2F3" w:val="clear"/>
          </w:tcPr>
          <w:p>
            <w:pPr>
              <w:jc w:val="center"/>
            </w:pPr>
            <w:r/>
            <w:r>
              <w:rPr>
                <w:sz w:val="20"/>
              </w:rPr>
              <w:t>0.7086</w:t>
            </w:r>
          </w:p>
        </w:tc>
        <w:tc>
          <w:tcPr>
            <w:tcW w:type="dxa" w:w="1234"/>
            <w:shd w:fill="D9E2F3" w:val="clear"/>
          </w:tcPr>
          <w:p>
            <w:pPr>
              <w:jc w:val="center"/>
            </w:pPr>
            <w:r/>
            <w:r>
              <w:rPr>
                <w:sz w:val="20"/>
              </w:rPr>
              <w:t>0.6295</w:t>
            </w:r>
          </w:p>
        </w:tc>
        <w:tc>
          <w:tcPr>
            <w:tcW w:type="dxa" w:w="1234"/>
            <w:shd w:fill="D9E2F3" w:val="clear"/>
          </w:tcPr>
          <w:p>
            <w:pPr>
              <w:jc w:val="center"/>
            </w:pPr>
            <w:r/>
            <w:r>
              <w:rPr>
                <w:sz w:val="20"/>
              </w:rPr>
              <w:t>0.8386</w:t>
            </w:r>
          </w:p>
        </w:tc>
        <w:tc>
          <w:tcPr>
            <w:tcW w:type="dxa" w:w="1234"/>
            <w:shd w:fill="D9E2F3" w:val="clear"/>
          </w:tcPr>
          <w:p>
            <w:pPr>
              <w:jc w:val="center"/>
            </w:pPr>
            <w:r/>
            <w:r>
              <w:rPr>
                <w:sz w:val="20"/>
              </w:rPr>
              <w:t>0.6509</w:t>
            </w:r>
          </w:p>
        </w:tc>
      </w:tr>
      <w:tr>
        <w:tc>
          <w:tcPr>
            <w:tcW w:type="dxa" w:w="1234"/>
          </w:tcPr>
          <w:p>
            <w:pPr>
              <w:jc w:val="center"/>
            </w:pPr>
            <w:r/>
            <w:r>
              <w:rPr>
                <w:sz w:val="20"/>
              </w:rPr>
              <w:t>XGBoost</w:t>
            </w:r>
          </w:p>
        </w:tc>
        <w:tc>
          <w:tcPr>
            <w:tcW w:type="dxa" w:w="1234"/>
          </w:tcPr>
          <w:p>
            <w:pPr>
              <w:jc w:val="center"/>
            </w:pPr>
            <w:r/>
            <w:r>
              <w:rPr>
                <w:sz w:val="20"/>
              </w:rPr>
              <w:t>0.7814</w:t>
            </w:r>
          </w:p>
        </w:tc>
        <w:tc>
          <w:tcPr>
            <w:tcW w:type="dxa" w:w="1234"/>
          </w:tcPr>
          <w:p>
            <w:pPr>
              <w:jc w:val="center"/>
            </w:pPr>
            <w:r/>
            <w:r>
              <w:rPr>
                <w:sz w:val="20"/>
              </w:rPr>
              <w:t>0.5878</w:t>
            </w:r>
          </w:p>
        </w:tc>
        <w:tc>
          <w:tcPr>
            <w:tcW w:type="dxa" w:w="1234"/>
          </w:tcPr>
          <w:p>
            <w:pPr>
              <w:jc w:val="center"/>
            </w:pPr>
            <w:r/>
            <w:r>
              <w:rPr>
                <w:sz w:val="20"/>
              </w:rPr>
              <w:t>0.5909</w:t>
            </w:r>
          </w:p>
        </w:tc>
        <w:tc>
          <w:tcPr>
            <w:tcW w:type="dxa" w:w="1234"/>
          </w:tcPr>
          <w:p>
            <w:pPr>
              <w:jc w:val="center"/>
            </w:pPr>
            <w:r/>
            <w:r>
              <w:rPr>
                <w:sz w:val="20"/>
              </w:rPr>
              <w:t>0.5893</w:t>
            </w:r>
          </w:p>
        </w:tc>
        <w:tc>
          <w:tcPr>
            <w:tcW w:type="dxa" w:w="1234"/>
          </w:tcPr>
          <w:p>
            <w:pPr>
              <w:jc w:val="center"/>
            </w:pPr>
            <w:r/>
            <w:r>
              <w:rPr>
                <w:sz w:val="20"/>
              </w:rPr>
              <w:t>0.8245</w:t>
            </w:r>
          </w:p>
        </w:tc>
        <w:tc>
          <w:tcPr>
            <w:tcW w:type="dxa" w:w="1234"/>
          </w:tcPr>
          <w:p>
            <w:pPr>
              <w:jc w:val="center"/>
            </w:pPr>
            <w:r/>
            <w:r>
              <w:rPr>
                <w:sz w:val="20"/>
              </w:rPr>
              <w:t>0.6353</w:t>
            </w:r>
          </w:p>
        </w:tc>
      </w:tr>
      <w:tr>
        <w:tc>
          <w:tcPr>
            <w:tcW w:type="dxa" w:w="1234"/>
            <w:shd w:fill="D9E2F3" w:val="clear"/>
          </w:tcPr>
          <w:p>
            <w:pPr>
              <w:jc w:val="center"/>
            </w:pPr>
            <w:r/>
            <w:r>
              <w:rPr>
                <w:sz w:val="20"/>
              </w:rPr>
              <w:t>LightGBM</w:t>
            </w:r>
          </w:p>
        </w:tc>
        <w:tc>
          <w:tcPr>
            <w:tcW w:type="dxa" w:w="1234"/>
            <w:shd w:fill="D9E2F3" w:val="clear"/>
          </w:tcPr>
          <w:p>
            <w:pPr>
              <w:jc w:val="center"/>
            </w:pPr>
            <w:r/>
            <w:r>
              <w:rPr>
                <w:sz w:val="20"/>
              </w:rPr>
              <w:t>0.7743</w:t>
            </w:r>
          </w:p>
        </w:tc>
        <w:tc>
          <w:tcPr>
            <w:tcW w:type="dxa" w:w="1234"/>
            <w:shd w:fill="D9E2F3" w:val="clear"/>
          </w:tcPr>
          <w:p>
            <w:pPr>
              <w:jc w:val="center"/>
            </w:pPr>
            <w:r/>
            <w:r>
              <w:rPr>
                <w:sz w:val="20"/>
              </w:rPr>
              <w:t>0.5737</w:t>
            </w:r>
          </w:p>
        </w:tc>
        <w:tc>
          <w:tcPr>
            <w:tcW w:type="dxa" w:w="1234"/>
            <w:shd w:fill="D9E2F3" w:val="clear"/>
          </w:tcPr>
          <w:p>
            <w:pPr>
              <w:jc w:val="center"/>
            </w:pPr>
            <w:r/>
            <w:r>
              <w:rPr>
                <w:sz w:val="20"/>
              </w:rPr>
              <w:t>0.5829</w:t>
            </w:r>
          </w:p>
        </w:tc>
        <w:tc>
          <w:tcPr>
            <w:tcW w:type="dxa" w:w="1234"/>
            <w:shd w:fill="D9E2F3" w:val="clear"/>
          </w:tcPr>
          <w:p>
            <w:pPr>
              <w:jc w:val="center"/>
            </w:pPr>
            <w:r/>
            <w:r>
              <w:rPr>
                <w:sz w:val="20"/>
              </w:rPr>
              <w:t>0.5782</w:t>
            </w:r>
          </w:p>
        </w:tc>
        <w:tc>
          <w:tcPr>
            <w:tcW w:type="dxa" w:w="1234"/>
            <w:shd w:fill="D9E2F3" w:val="clear"/>
          </w:tcPr>
          <w:p>
            <w:pPr>
              <w:jc w:val="center"/>
            </w:pPr>
            <w:r/>
            <w:r>
              <w:rPr>
                <w:sz w:val="20"/>
              </w:rPr>
              <w:t>0.8217</w:t>
            </w:r>
          </w:p>
        </w:tc>
        <w:tc>
          <w:tcPr>
            <w:tcW w:type="dxa" w:w="1234"/>
            <w:shd w:fill="D9E2F3" w:val="clear"/>
          </w:tcPr>
          <w:p>
            <w:pPr>
              <w:jc w:val="center"/>
            </w:pPr>
            <w:r/>
            <w:r>
              <w:rPr>
                <w:sz w:val="20"/>
              </w:rPr>
              <w:t>0.6273</w:t>
            </w:r>
          </w:p>
        </w:tc>
      </w:tr>
    </w:tbl>
    <w:p/>
    <w:p>
      <w:r>
        <w:rPr>
          <w:b w:val="0"/>
          <w:sz w:val="24"/>
        </w:rPr>
        <w:t>在真实不平衡数据上，随机森林以ROC-AUC = 0.8386和Recall = 0.7086取得综合最佳表现。这意味着模型能够成功识别70.9%的流失客户，同时保持56.6%的精确率。逻辑回归虽然整体准确率较低，但其Recall达到0.6979，与随机森林接近，说明线性模型在RFM和WOE特征工程的加持下仍具有竞争力。XGBoost和LightGBM的Accuracy略高，但Recall明显低于随机森林，不符合流失预警场景对召回率的偏好。</w:t>
      </w:r>
    </w:p>
    <w:p>
      <w:pPr>
        <w:pStyle w:val="Heading2"/>
        <w:ind w:firstLine="0"/>
      </w:pPr>
      <w:r>
        <w:t>5.4 ROC与PR曲线分析</w:t>
      </w:r>
    </w:p>
    <w:p>
      <w:r>
        <w:rPr>
          <w:b w:val="0"/>
          <w:sz w:val="24"/>
        </w:rPr>
        <w:t>四种模型的ROC曲线均显著优于随机猜测基线（AUC = 0.50）。（完整ROC和PR曲线图见附录experiments/roc_curves.png和pr_curves.png）。在不平衡分类问题中，PR曲线比ROC曲线更具参考价值。由于流失客户仅占26.5%，随机猜测的PR-AUC基线约为0.27。四种模型的PR-AUC在0.63至0.66之间，远超基线，说明模型具有良好的实用价值。</w:t>
      </w:r>
    </w:p>
    <w:p>
      <w:pPr>
        <w:pStyle w:val="Heading2"/>
        <w:ind w:firstLine="0"/>
      </w:pPr>
      <w:r>
        <w:t>5.5 混淆矩阵分析</w:t>
      </w:r>
    </w:p>
    <w:p>
      <w:r>
        <w:rPr>
          <w:b w:val="0"/>
          <w:sz w:val="24"/>
        </w:rPr>
        <w:t>从混淆矩阵可以看出（见附录experiments/confusion_matrices.png），四种模型对非流失客户的识别准确率较高（真负例多），但对流失客户存在一定程度的漏检（假负例）。以随机森林为例，374个真实流失客户中约265个被正确识别（Recall = 70.9%），约109个被漏检。这是不平衡分类的典型特征——模型倾向于预测多数类。在实际业务中，可通过调整分类阈值来平衡精确率与召回率。</w:t>
      </w:r>
    </w:p>
    <w:p>
      <w:pPr>
        <w:pStyle w:val="Heading2"/>
        <w:ind w:firstLine="0"/>
      </w:pPr>
      <w:r>
        <w:t>5.6 特征重要性分析</w:t>
      </w:r>
    </w:p>
    <w:p>
      <w:r>
        <w:rPr>
          <w:b w:val="0"/>
          <w:sz w:val="24"/>
        </w:rPr>
        <w:t>随机森林模型的特征重要性排序显示（见附录experiments/feature_importance.png），Contract（合同类型）是最重要的预测特征，其次是R_Score、MonthlyCharges、tenure和TotalCharges。RFM综合评分RFM_Total和WOE编码特征也进入了Top-10。</w:t>
      </w:r>
    </w:p>
    <w:p>
      <w:pPr>
        <w:pStyle w:val="Heading2"/>
        <w:ind w:firstLine="0"/>
      </w:pPr>
      <w:r>
        <w:t>5.7 消融实验</w:t>
      </w:r>
    </w:p>
    <w:p>
      <w:pPr>
        <w:ind w:firstLine="0"/>
      </w:pPr>
      <w:r>
        <w:rPr>
          <w:b w:val="0"/>
          <w:sz w:val="24"/>
        </w:rPr>
        <w:t>为验证RFM、WOE和SMOTE各模块的贡献，使用随机森林在同一训练/测试划分上进行消融对比，结果如表5所示。</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4472C4" w:val="clear"/>
          </w:tcPr>
          <w:p>
            <w:pPr>
              <w:jc w:val="center"/>
            </w:pPr>
            <w:r/>
            <w:r>
              <w:rPr>
                <w:rFonts w:ascii="黑体" w:hAnsi="黑体" w:eastAsia="黑体"/>
                <w:b/>
                <w:color w:val="FFFFFF"/>
                <w:sz w:val="20"/>
              </w:rPr>
              <w:t>实验条件</w:t>
            </w:r>
          </w:p>
        </w:tc>
        <w:tc>
          <w:tcPr>
            <w:tcW w:type="dxa" w:w="1234"/>
            <w:shd w:fill="4472C4" w:val="clear"/>
          </w:tcPr>
          <w:p>
            <w:pPr>
              <w:jc w:val="center"/>
            </w:pPr>
            <w:r/>
            <w:r>
              <w:rPr>
                <w:rFonts w:ascii="黑体" w:hAnsi="黑体" w:eastAsia="黑体"/>
                <w:b/>
                <w:color w:val="FFFFFF"/>
                <w:sz w:val="20"/>
              </w:rPr>
              <w:t>Accuracy</w:t>
            </w:r>
          </w:p>
        </w:tc>
        <w:tc>
          <w:tcPr>
            <w:tcW w:type="dxa" w:w="1234"/>
            <w:shd w:fill="4472C4" w:val="clear"/>
          </w:tcPr>
          <w:p>
            <w:pPr>
              <w:jc w:val="center"/>
            </w:pPr>
            <w:r/>
            <w:r>
              <w:rPr>
                <w:rFonts w:ascii="黑体" w:hAnsi="黑体" w:eastAsia="黑体"/>
                <w:b/>
                <w:color w:val="FFFFFF"/>
                <w:sz w:val="20"/>
              </w:rPr>
              <w:t>Precision</w:t>
            </w:r>
          </w:p>
        </w:tc>
        <w:tc>
          <w:tcPr>
            <w:tcW w:type="dxa" w:w="1234"/>
            <w:shd w:fill="4472C4" w:val="clear"/>
          </w:tcPr>
          <w:p>
            <w:pPr>
              <w:jc w:val="center"/>
            </w:pPr>
            <w:r/>
            <w:r>
              <w:rPr>
                <w:rFonts w:ascii="黑体" w:hAnsi="黑体" w:eastAsia="黑体"/>
                <w:b/>
                <w:color w:val="FFFFFF"/>
                <w:sz w:val="20"/>
              </w:rPr>
              <w:t>Recall</w:t>
            </w:r>
          </w:p>
        </w:tc>
        <w:tc>
          <w:tcPr>
            <w:tcW w:type="dxa" w:w="1234"/>
            <w:shd w:fill="4472C4" w:val="clear"/>
          </w:tcPr>
          <w:p>
            <w:pPr>
              <w:jc w:val="center"/>
            </w:pPr>
            <w:r/>
            <w:r>
              <w:rPr>
                <w:rFonts w:ascii="黑体" w:hAnsi="黑体" w:eastAsia="黑体"/>
                <w:b/>
                <w:color w:val="FFFFFF"/>
                <w:sz w:val="20"/>
              </w:rPr>
              <w:t>F1</w:t>
            </w:r>
          </w:p>
        </w:tc>
        <w:tc>
          <w:tcPr>
            <w:tcW w:type="dxa" w:w="1234"/>
            <w:shd w:fill="4472C4" w:val="clear"/>
          </w:tcPr>
          <w:p>
            <w:pPr>
              <w:jc w:val="center"/>
            </w:pPr>
            <w:r/>
            <w:r>
              <w:rPr>
                <w:rFonts w:ascii="黑体" w:hAnsi="黑体" w:eastAsia="黑体"/>
                <w:b/>
                <w:color w:val="FFFFFF"/>
                <w:sz w:val="20"/>
              </w:rPr>
              <w:t>ROC-AUC</w:t>
            </w:r>
          </w:p>
        </w:tc>
        <w:tc>
          <w:tcPr>
            <w:tcW w:type="dxa" w:w="1234"/>
            <w:shd w:fill="4472C4" w:val="clear"/>
          </w:tcPr>
          <w:p>
            <w:pPr>
              <w:jc w:val="center"/>
            </w:pPr>
            <w:r/>
            <w:r>
              <w:rPr>
                <w:rFonts w:ascii="黑体" w:hAnsi="黑体" w:eastAsia="黑体"/>
                <w:b/>
                <w:color w:val="FFFFFF"/>
                <w:sz w:val="20"/>
              </w:rPr>
              <w:t>PR-AUC</w:t>
            </w:r>
          </w:p>
        </w:tc>
      </w:tr>
      <w:tr>
        <w:tc>
          <w:tcPr>
            <w:tcW w:type="dxa" w:w="1234"/>
          </w:tcPr>
          <w:p>
            <w:pPr>
              <w:jc w:val="center"/>
            </w:pPr>
            <w:r/>
            <w:r>
              <w:rPr>
                <w:sz w:val="20"/>
              </w:rPr>
              <w:t>Base</w:t>
            </w:r>
          </w:p>
        </w:tc>
        <w:tc>
          <w:tcPr>
            <w:tcW w:type="dxa" w:w="1234"/>
          </w:tcPr>
          <w:p>
            <w:pPr>
              <w:jc w:val="center"/>
            </w:pPr>
            <w:r/>
            <w:r>
              <w:rPr>
                <w:sz w:val="20"/>
              </w:rPr>
              <w:t>0.8013</w:t>
            </w:r>
          </w:p>
        </w:tc>
        <w:tc>
          <w:tcPr>
            <w:tcW w:type="dxa" w:w="1234"/>
          </w:tcPr>
          <w:p>
            <w:pPr>
              <w:jc w:val="center"/>
            </w:pPr>
            <w:r/>
            <w:r>
              <w:rPr>
                <w:sz w:val="20"/>
              </w:rPr>
              <w:t>0.6632</w:t>
            </w:r>
          </w:p>
        </w:tc>
        <w:tc>
          <w:tcPr>
            <w:tcW w:type="dxa" w:w="1234"/>
          </w:tcPr>
          <w:p>
            <w:pPr>
              <w:jc w:val="center"/>
            </w:pPr>
            <w:r/>
            <w:r>
              <w:rPr>
                <w:sz w:val="20"/>
              </w:rPr>
              <w:t>0.5107</w:t>
            </w:r>
          </w:p>
        </w:tc>
        <w:tc>
          <w:tcPr>
            <w:tcW w:type="dxa" w:w="1234"/>
          </w:tcPr>
          <w:p>
            <w:pPr>
              <w:jc w:val="center"/>
            </w:pPr>
            <w:r/>
            <w:r>
              <w:rPr>
                <w:sz w:val="20"/>
              </w:rPr>
              <w:t>0.5770</w:t>
            </w:r>
          </w:p>
        </w:tc>
        <w:tc>
          <w:tcPr>
            <w:tcW w:type="dxa" w:w="1234"/>
          </w:tcPr>
          <w:p>
            <w:pPr>
              <w:jc w:val="center"/>
            </w:pPr>
            <w:r/>
            <w:r>
              <w:rPr>
                <w:sz w:val="20"/>
              </w:rPr>
              <w:t>0.8424</w:t>
            </w:r>
          </w:p>
        </w:tc>
        <w:tc>
          <w:tcPr>
            <w:tcW w:type="dxa" w:w="1234"/>
          </w:tcPr>
          <w:p>
            <w:pPr>
              <w:jc w:val="center"/>
            </w:pPr>
            <w:r/>
            <w:r>
              <w:rPr>
                <w:sz w:val="20"/>
              </w:rPr>
              <w:t>0.6543</w:t>
            </w:r>
          </w:p>
        </w:tc>
      </w:tr>
      <w:tr>
        <w:tc>
          <w:tcPr>
            <w:tcW w:type="dxa" w:w="1234"/>
            <w:shd w:fill="D9E2F3" w:val="clear"/>
          </w:tcPr>
          <w:p>
            <w:pPr>
              <w:jc w:val="center"/>
            </w:pPr>
            <w:r/>
            <w:r>
              <w:rPr>
                <w:sz w:val="20"/>
              </w:rPr>
              <w:t>Base+RFM</w:t>
            </w:r>
          </w:p>
        </w:tc>
        <w:tc>
          <w:tcPr>
            <w:tcW w:type="dxa" w:w="1234"/>
            <w:shd w:fill="D9E2F3" w:val="clear"/>
          </w:tcPr>
          <w:p>
            <w:pPr>
              <w:jc w:val="center"/>
            </w:pPr>
            <w:r/>
            <w:r>
              <w:rPr>
                <w:sz w:val="20"/>
              </w:rPr>
              <w:t>0.7984</w:t>
            </w:r>
          </w:p>
        </w:tc>
        <w:tc>
          <w:tcPr>
            <w:tcW w:type="dxa" w:w="1234"/>
            <w:shd w:fill="D9E2F3" w:val="clear"/>
          </w:tcPr>
          <w:p>
            <w:pPr>
              <w:jc w:val="center"/>
            </w:pPr>
            <w:r/>
            <w:r>
              <w:rPr>
                <w:sz w:val="20"/>
              </w:rPr>
              <w:t>0.6630</w:t>
            </w:r>
          </w:p>
        </w:tc>
        <w:tc>
          <w:tcPr>
            <w:tcW w:type="dxa" w:w="1234"/>
            <w:shd w:fill="D9E2F3" w:val="clear"/>
          </w:tcPr>
          <w:p>
            <w:pPr>
              <w:jc w:val="center"/>
            </w:pPr>
            <w:r/>
            <w:r>
              <w:rPr>
                <w:sz w:val="20"/>
              </w:rPr>
              <w:t>0.4893</w:t>
            </w:r>
          </w:p>
        </w:tc>
        <w:tc>
          <w:tcPr>
            <w:tcW w:type="dxa" w:w="1234"/>
            <w:shd w:fill="D9E2F3" w:val="clear"/>
          </w:tcPr>
          <w:p>
            <w:pPr>
              <w:jc w:val="center"/>
            </w:pPr>
            <w:r/>
            <w:r>
              <w:rPr>
                <w:sz w:val="20"/>
              </w:rPr>
              <w:t>0.5631</w:t>
            </w:r>
          </w:p>
        </w:tc>
        <w:tc>
          <w:tcPr>
            <w:tcW w:type="dxa" w:w="1234"/>
            <w:shd w:fill="D9E2F3" w:val="clear"/>
          </w:tcPr>
          <w:p>
            <w:pPr>
              <w:jc w:val="center"/>
            </w:pPr>
            <w:r/>
            <w:r>
              <w:rPr>
                <w:sz w:val="20"/>
              </w:rPr>
              <w:t>0.8407</w:t>
            </w:r>
          </w:p>
        </w:tc>
        <w:tc>
          <w:tcPr>
            <w:tcW w:type="dxa" w:w="1234"/>
            <w:shd w:fill="D9E2F3" w:val="clear"/>
          </w:tcPr>
          <w:p>
            <w:pPr>
              <w:jc w:val="center"/>
            </w:pPr>
            <w:r/>
            <w:r>
              <w:rPr>
                <w:sz w:val="20"/>
              </w:rPr>
              <w:t>0.6557</w:t>
            </w:r>
          </w:p>
        </w:tc>
      </w:tr>
      <w:tr>
        <w:tc>
          <w:tcPr>
            <w:tcW w:type="dxa" w:w="1234"/>
          </w:tcPr>
          <w:p>
            <w:pPr>
              <w:jc w:val="center"/>
            </w:pPr>
            <w:r/>
            <w:r>
              <w:rPr>
                <w:sz w:val="20"/>
              </w:rPr>
              <w:t>Base+RFM+WOE</w:t>
            </w:r>
          </w:p>
        </w:tc>
        <w:tc>
          <w:tcPr>
            <w:tcW w:type="dxa" w:w="1234"/>
          </w:tcPr>
          <w:p>
            <w:pPr>
              <w:jc w:val="center"/>
            </w:pPr>
            <w:r/>
            <w:r>
              <w:rPr>
                <w:sz w:val="20"/>
              </w:rPr>
              <w:t>0.7956</w:t>
            </w:r>
          </w:p>
        </w:tc>
        <w:tc>
          <w:tcPr>
            <w:tcW w:type="dxa" w:w="1234"/>
          </w:tcPr>
          <w:p>
            <w:pPr>
              <w:jc w:val="center"/>
            </w:pPr>
            <w:r/>
            <w:r>
              <w:rPr>
                <w:sz w:val="20"/>
              </w:rPr>
              <w:t>0.6536</w:t>
            </w:r>
          </w:p>
        </w:tc>
        <w:tc>
          <w:tcPr>
            <w:tcW w:type="dxa" w:w="1234"/>
          </w:tcPr>
          <w:p>
            <w:pPr>
              <w:jc w:val="center"/>
            </w:pPr>
            <w:r/>
            <w:r>
              <w:rPr>
                <w:sz w:val="20"/>
              </w:rPr>
              <w:t>0.4893</w:t>
            </w:r>
          </w:p>
        </w:tc>
        <w:tc>
          <w:tcPr>
            <w:tcW w:type="dxa" w:w="1234"/>
          </w:tcPr>
          <w:p>
            <w:pPr>
              <w:jc w:val="center"/>
            </w:pPr>
            <w:r/>
            <w:r>
              <w:rPr>
                <w:sz w:val="20"/>
              </w:rPr>
              <w:t>0.5596</w:t>
            </w:r>
          </w:p>
        </w:tc>
        <w:tc>
          <w:tcPr>
            <w:tcW w:type="dxa" w:w="1234"/>
          </w:tcPr>
          <w:p>
            <w:pPr>
              <w:jc w:val="center"/>
            </w:pPr>
            <w:r/>
            <w:r>
              <w:rPr>
                <w:sz w:val="20"/>
              </w:rPr>
              <w:t>0.8386</w:t>
            </w:r>
          </w:p>
        </w:tc>
        <w:tc>
          <w:tcPr>
            <w:tcW w:type="dxa" w:w="1234"/>
          </w:tcPr>
          <w:p>
            <w:pPr>
              <w:jc w:val="center"/>
            </w:pPr>
            <w:r/>
            <w:r>
              <w:rPr>
                <w:sz w:val="20"/>
              </w:rPr>
              <w:t>0.6475</w:t>
            </w:r>
          </w:p>
        </w:tc>
      </w:tr>
      <w:tr>
        <w:tc>
          <w:tcPr>
            <w:tcW w:type="dxa" w:w="1234"/>
            <w:shd w:fill="D9E2F3" w:val="clear"/>
          </w:tcPr>
          <w:p>
            <w:pPr>
              <w:jc w:val="center"/>
            </w:pPr>
            <w:r/>
            <w:r>
              <w:rPr>
                <w:sz w:val="20"/>
              </w:rPr>
              <w:t>Base+RFM+WOE+SMOTE</w:t>
            </w:r>
          </w:p>
        </w:tc>
        <w:tc>
          <w:tcPr>
            <w:tcW w:type="dxa" w:w="1234"/>
            <w:shd w:fill="D9E2F3" w:val="clear"/>
          </w:tcPr>
          <w:p>
            <w:pPr>
              <w:jc w:val="center"/>
            </w:pPr>
            <w:r/>
            <w:r>
              <w:rPr>
                <w:sz w:val="20"/>
              </w:rPr>
              <w:t>0.7786</w:t>
            </w:r>
          </w:p>
        </w:tc>
        <w:tc>
          <w:tcPr>
            <w:tcW w:type="dxa" w:w="1234"/>
            <w:shd w:fill="D9E2F3" w:val="clear"/>
          </w:tcPr>
          <w:p>
            <w:pPr>
              <w:jc w:val="center"/>
            </w:pPr>
            <w:r/>
            <w:r>
              <w:rPr>
                <w:sz w:val="20"/>
              </w:rPr>
              <w:t>0.5662</w:t>
            </w:r>
          </w:p>
        </w:tc>
        <w:tc>
          <w:tcPr>
            <w:tcW w:type="dxa" w:w="1234"/>
            <w:shd w:fill="D9E2F3" w:val="clear"/>
          </w:tcPr>
          <w:p>
            <w:pPr>
              <w:jc w:val="center"/>
            </w:pPr>
            <w:r/>
            <w:r>
              <w:rPr>
                <w:sz w:val="20"/>
              </w:rPr>
              <w:t>0.7086</w:t>
            </w:r>
          </w:p>
        </w:tc>
        <w:tc>
          <w:tcPr>
            <w:tcW w:type="dxa" w:w="1234"/>
            <w:shd w:fill="D9E2F3" w:val="clear"/>
          </w:tcPr>
          <w:p>
            <w:pPr>
              <w:jc w:val="center"/>
            </w:pPr>
            <w:r/>
            <w:r>
              <w:rPr>
                <w:sz w:val="20"/>
              </w:rPr>
              <w:t>0.6295</w:t>
            </w:r>
          </w:p>
        </w:tc>
        <w:tc>
          <w:tcPr>
            <w:tcW w:type="dxa" w:w="1234"/>
            <w:shd w:fill="D9E2F3" w:val="clear"/>
          </w:tcPr>
          <w:p>
            <w:pPr>
              <w:jc w:val="center"/>
            </w:pPr>
            <w:r/>
            <w:r>
              <w:rPr>
                <w:sz w:val="20"/>
              </w:rPr>
              <w:t>0.8386</w:t>
            </w:r>
          </w:p>
        </w:tc>
        <w:tc>
          <w:tcPr>
            <w:tcW w:type="dxa" w:w="1234"/>
            <w:shd w:fill="D9E2F3" w:val="clear"/>
          </w:tcPr>
          <w:p>
            <w:pPr>
              <w:jc w:val="center"/>
            </w:pPr>
            <w:r/>
            <w:r>
              <w:rPr>
                <w:sz w:val="20"/>
              </w:rPr>
              <w:t>0.6509</w:t>
            </w:r>
          </w:p>
        </w:tc>
      </w:tr>
    </w:tbl>
    <w:p/>
    <w:p>
      <w:r>
        <w:rPr>
          <w:b w:val="0"/>
          <w:sz w:val="24"/>
        </w:rPr>
        <w:t>消融结果显示，RFM与WOE在随机森林上没有带来明显AUC提升，但SMOTE显著改善了流失客户召回率：Recall从0.4893提升到0.7086，F1从0.5596提升到0.6295。该结果说明本任务的主要收益来自不平衡学习策略，而RFM/WOE更多提供可解释的业务特征补充。</w:t>
      </w:r>
    </w:p>
    <w:p>
      <w:pPr>
        <w:pStyle w:val="Heading1"/>
        <w:ind w:firstLine="0"/>
      </w:pPr>
      <w:r>
        <w:t>6. 结果分析</w:t>
      </w:r>
    </w:p>
    <w:p>
      <w:pPr>
        <w:pStyle w:val="Heading2"/>
        <w:ind w:firstLine="0"/>
      </w:pPr>
      <w:r>
        <w:t>6.1 SHAP可解释性分析</w:t>
      </w:r>
    </w:p>
    <w:p>
      <w:pPr>
        <w:ind w:firstLine="0"/>
      </w:pPr>
      <w:r>
        <w:rPr>
          <w:b w:val="0"/>
          <w:sz w:val="24"/>
        </w:rPr>
        <w:t>为理解模型的决策机制，对最佳模型（随机森林）进行SHAP分析。SHAP特征重要性排名如表6所示（完整SHAP可视化见附录experiments/shap_summary.png）。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
              <w:rPr>
                <w:rFonts w:ascii="黑体" w:hAnsi="黑体" w:eastAsia="黑体"/>
                <w:b/>
                <w:color w:val="FFFFFF"/>
                <w:sz w:val="20"/>
              </w:rPr>
              <w:t>排名</w:t>
            </w:r>
          </w:p>
        </w:tc>
        <w:tc>
          <w:tcPr>
            <w:tcW w:type="dxa" w:w="2160"/>
            <w:shd w:fill="4472C4" w:val="clear"/>
          </w:tcPr>
          <w:p>
            <w:pPr>
              <w:jc w:val="center"/>
            </w:pPr>
            <w:r/>
            <w:r>
              <w:rPr>
                <w:rFonts w:ascii="黑体" w:hAnsi="黑体" w:eastAsia="黑体"/>
                <w:b/>
                <w:color w:val="FFFFFF"/>
                <w:sz w:val="20"/>
              </w:rPr>
              <w:t>特征</w:t>
            </w:r>
          </w:p>
        </w:tc>
        <w:tc>
          <w:tcPr>
            <w:tcW w:type="dxa" w:w="2160"/>
            <w:shd w:fill="4472C4" w:val="clear"/>
          </w:tcPr>
          <w:p>
            <w:pPr>
              <w:jc w:val="center"/>
            </w:pPr>
            <w:r/>
            <w:r>
              <w:rPr>
                <w:rFonts w:ascii="黑体" w:hAnsi="黑体" w:eastAsia="黑体"/>
                <w:b/>
                <w:color w:val="FFFFFF"/>
                <w:sz w:val="20"/>
              </w:rPr>
              <w:t>SHAP Importance</w:t>
            </w:r>
          </w:p>
        </w:tc>
        <w:tc>
          <w:tcPr>
            <w:tcW w:type="dxa" w:w="2160"/>
            <w:shd w:fill="4472C4" w:val="clear"/>
          </w:tcPr>
          <w:p>
            <w:pPr>
              <w:jc w:val="center"/>
            </w:pPr>
            <w:r/>
            <w:r>
              <w:rPr>
                <w:rFonts w:ascii="黑体" w:hAnsi="黑体" w:eastAsia="黑体"/>
                <w:b/>
                <w:color w:val="FFFFFF"/>
                <w:sz w:val="20"/>
              </w:rPr>
              <w:t>业务含义</w:t>
            </w:r>
          </w:p>
        </w:tc>
      </w:tr>
      <w:tr>
        <w:tc>
          <w:tcPr>
            <w:tcW w:type="dxa" w:w="2160"/>
          </w:tcPr>
          <w:p>
            <w:pPr>
              <w:jc w:val="center"/>
            </w:pPr>
            <w:r/>
            <w:r>
              <w:rPr>
                <w:sz w:val="20"/>
              </w:rPr>
              <w:t>1</w:t>
            </w:r>
          </w:p>
        </w:tc>
        <w:tc>
          <w:tcPr>
            <w:tcW w:type="dxa" w:w="2160"/>
          </w:tcPr>
          <w:p>
            <w:pPr>
              <w:jc w:val="center"/>
            </w:pPr>
            <w:r/>
            <w:r>
              <w:rPr>
                <w:sz w:val="20"/>
              </w:rPr>
              <w:t>PaymentMethod</w:t>
            </w:r>
          </w:p>
        </w:tc>
        <w:tc>
          <w:tcPr>
            <w:tcW w:type="dxa" w:w="2160"/>
          </w:tcPr>
          <w:p>
            <w:pPr>
              <w:jc w:val="center"/>
            </w:pPr>
            <w:r/>
            <w:r>
              <w:rPr>
                <w:sz w:val="20"/>
              </w:rPr>
              <w:t>0.0566</w:t>
            </w:r>
          </w:p>
        </w:tc>
        <w:tc>
          <w:tcPr>
            <w:tcW w:type="dxa" w:w="2160"/>
          </w:tcPr>
          <w:p>
            <w:pPr>
              <w:jc w:val="center"/>
            </w:pPr>
            <w:r/>
            <w:r>
              <w:rPr>
                <w:sz w:val="20"/>
              </w:rPr>
              <w:t>支付方式，电子支票支付者流失风险显著偏高</w:t>
            </w:r>
          </w:p>
        </w:tc>
      </w:tr>
      <w:tr>
        <w:tc>
          <w:tcPr>
            <w:tcW w:type="dxa" w:w="2160"/>
            <w:shd w:fill="D9E2F3" w:val="clear"/>
          </w:tcPr>
          <w:p>
            <w:pPr>
              <w:jc w:val="center"/>
            </w:pPr>
            <w:r/>
            <w:r>
              <w:rPr>
                <w:sz w:val="20"/>
              </w:rPr>
              <w:t>2</w:t>
            </w:r>
          </w:p>
        </w:tc>
        <w:tc>
          <w:tcPr>
            <w:tcW w:type="dxa" w:w="2160"/>
            <w:shd w:fill="D9E2F3" w:val="clear"/>
          </w:tcPr>
          <w:p>
            <w:pPr>
              <w:jc w:val="center"/>
            </w:pPr>
            <w:r/>
            <w:r>
              <w:rPr>
                <w:sz w:val="20"/>
              </w:rPr>
              <w:t>MonthlyCharges</w:t>
            </w:r>
          </w:p>
        </w:tc>
        <w:tc>
          <w:tcPr>
            <w:tcW w:type="dxa" w:w="2160"/>
            <w:shd w:fill="D9E2F3" w:val="clear"/>
          </w:tcPr>
          <w:p>
            <w:pPr>
              <w:jc w:val="center"/>
            </w:pPr>
            <w:r/>
            <w:r>
              <w:rPr>
                <w:sz w:val="20"/>
              </w:rPr>
              <w:t>0.0566</w:t>
            </w:r>
          </w:p>
        </w:tc>
        <w:tc>
          <w:tcPr>
            <w:tcW w:type="dxa" w:w="2160"/>
            <w:shd w:fill="D9E2F3" w:val="clear"/>
          </w:tcPr>
          <w:p>
            <w:pPr>
              <w:jc w:val="center"/>
            </w:pPr>
            <w:r/>
            <w:r>
              <w:rPr>
                <w:sz w:val="20"/>
              </w:rPr>
              <w:t>月消费金额，高消费客户流失倾向略有增加</w:t>
            </w:r>
          </w:p>
        </w:tc>
      </w:tr>
      <w:tr>
        <w:tc>
          <w:tcPr>
            <w:tcW w:type="dxa" w:w="2160"/>
          </w:tcPr>
          <w:p>
            <w:pPr>
              <w:jc w:val="center"/>
            </w:pPr>
            <w:r/>
            <w:r>
              <w:rPr>
                <w:sz w:val="20"/>
              </w:rPr>
              <w:t>3</w:t>
            </w:r>
          </w:p>
        </w:tc>
        <w:tc>
          <w:tcPr>
            <w:tcW w:type="dxa" w:w="2160"/>
          </w:tcPr>
          <w:p>
            <w:pPr>
              <w:jc w:val="center"/>
            </w:pPr>
            <w:r/>
            <w:r>
              <w:rPr>
                <w:sz w:val="20"/>
              </w:rPr>
              <w:t>RFM_Total</w:t>
            </w:r>
          </w:p>
        </w:tc>
        <w:tc>
          <w:tcPr>
            <w:tcW w:type="dxa" w:w="2160"/>
          </w:tcPr>
          <w:p>
            <w:pPr>
              <w:jc w:val="center"/>
            </w:pPr>
            <w:r/>
            <w:r>
              <w:rPr>
                <w:sz w:val="20"/>
              </w:rPr>
              <w:t>0.0552</w:t>
            </w:r>
          </w:p>
        </w:tc>
        <w:tc>
          <w:tcPr>
            <w:tcW w:type="dxa" w:w="2160"/>
          </w:tcPr>
          <w:p>
            <w:pPr>
              <w:jc w:val="center"/>
            </w:pPr>
            <w:r/>
            <w:r>
              <w:rPr>
                <w:sz w:val="20"/>
              </w:rPr>
              <w:t>RFM综合评分，同时考虑了最近性、频率和消费价值</w:t>
            </w:r>
          </w:p>
        </w:tc>
      </w:tr>
      <w:tr>
        <w:tc>
          <w:tcPr>
            <w:tcW w:type="dxa" w:w="2160"/>
            <w:shd w:fill="D9E2F3" w:val="clear"/>
          </w:tcPr>
          <w:p>
            <w:pPr>
              <w:jc w:val="center"/>
            </w:pPr>
            <w:r/>
            <w:r>
              <w:rPr>
                <w:sz w:val="20"/>
              </w:rPr>
              <w:t>4</w:t>
            </w:r>
          </w:p>
        </w:tc>
        <w:tc>
          <w:tcPr>
            <w:tcW w:type="dxa" w:w="2160"/>
            <w:shd w:fill="D9E2F3" w:val="clear"/>
          </w:tcPr>
          <w:p>
            <w:pPr>
              <w:jc w:val="center"/>
            </w:pPr>
            <w:r/>
            <w:r>
              <w:rPr>
                <w:sz w:val="20"/>
              </w:rPr>
              <w:t>tenure_WOE</w:t>
            </w:r>
          </w:p>
        </w:tc>
        <w:tc>
          <w:tcPr>
            <w:tcW w:type="dxa" w:w="2160"/>
            <w:shd w:fill="D9E2F3" w:val="clear"/>
          </w:tcPr>
          <w:p>
            <w:pPr>
              <w:jc w:val="center"/>
            </w:pPr>
            <w:r/>
            <w:r>
              <w:rPr>
                <w:sz w:val="20"/>
              </w:rPr>
              <w:t>0.0552</w:t>
            </w:r>
          </w:p>
        </w:tc>
        <w:tc>
          <w:tcPr>
            <w:tcW w:type="dxa" w:w="2160"/>
            <w:shd w:fill="D9E2F3" w:val="clear"/>
          </w:tcPr>
          <w:p>
            <w:pPr>
              <w:jc w:val="center"/>
            </w:pPr>
            <w:r/>
            <w:r>
              <w:rPr>
                <w:sz w:val="20"/>
              </w:rPr>
              <w:t>在网时长的证据权重编码，反映客户生命周期的非线性影响</w:t>
            </w:r>
          </w:p>
        </w:tc>
      </w:tr>
      <w:tr>
        <w:tc>
          <w:tcPr>
            <w:tcW w:type="dxa" w:w="2160"/>
          </w:tcPr>
          <w:p>
            <w:pPr>
              <w:jc w:val="center"/>
            </w:pPr>
            <w:r/>
            <w:r>
              <w:rPr>
                <w:sz w:val="20"/>
              </w:rPr>
              <w:t>5</w:t>
            </w:r>
          </w:p>
        </w:tc>
        <w:tc>
          <w:tcPr>
            <w:tcW w:type="dxa" w:w="2160"/>
          </w:tcPr>
          <w:p>
            <w:pPr>
              <w:jc w:val="center"/>
            </w:pPr>
            <w:r/>
            <w:r>
              <w:rPr>
                <w:sz w:val="20"/>
              </w:rPr>
              <w:t>InternetService</w:t>
            </w:r>
          </w:p>
        </w:tc>
        <w:tc>
          <w:tcPr>
            <w:tcW w:type="dxa" w:w="2160"/>
          </w:tcPr>
          <w:p>
            <w:pPr>
              <w:jc w:val="center"/>
            </w:pPr>
            <w:r/>
            <w:r>
              <w:rPr>
                <w:sz w:val="20"/>
              </w:rPr>
              <w:t>0.0272</w:t>
            </w:r>
          </w:p>
        </w:tc>
        <w:tc>
          <w:tcPr>
            <w:tcW w:type="dxa" w:w="2160"/>
          </w:tcPr>
          <w:p>
            <w:pPr>
              <w:jc w:val="center"/>
            </w:pPr>
            <w:r/>
            <w:r>
              <w:rPr>
                <w:sz w:val="20"/>
              </w:rPr>
              <w:t>互联网服务类型，光纤用户流失率高于DSL用户</w:t>
            </w:r>
          </w:p>
        </w:tc>
      </w:tr>
      <w:tr>
        <w:tc>
          <w:tcPr>
            <w:tcW w:type="dxa" w:w="2160"/>
            <w:shd w:fill="D9E2F3" w:val="clear"/>
          </w:tcPr>
          <w:p>
            <w:pPr>
              <w:jc w:val="center"/>
            </w:pPr>
            <w:r/>
            <w:r>
              <w:rPr>
                <w:sz w:val="20"/>
              </w:rPr>
              <w:t>6</w:t>
            </w:r>
          </w:p>
        </w:tc>
        <w:tc>
          <w:tcPr>
            <w:tcW w:type="dxa" w:w="2160"/>
            <w:shd w:fill="D9E2F3" w:val="clear"/>
          </w:tcPr>
          <w:p>
            <w:pPr>
              <w:jc w:val="center"/>
            </w:pPr>
            <w:r/>
            <w:r>
              <w:rPr>
                <w:sz w:val="20"/>
              </w:rPr>
              <w:t>MultipleLines</w:t>
            </w:r>
          </w:p>
        </w:tc>
        <w:tc>
          <w:tcPr>
            <w:tcW w:type="dxa" w:w="2160"/>
            <w:shd w:fill="D9E2F3" w:val="clear"/>
          </w:tcPr>
          <w:p>
            <w:pPr>
              <w:jc w:val="center"/>
            </w:pPr>
            <w:r/>
            <w:r>
              <w:rPr>
                <w:sz w:val="20"/>
              </w:rPr>
              <w:t>0.0272</w:t>
            </w:r>
          </w:p>
        </w:tc>
        <w:tc>
          <w:tcPr>
            <w:tcW w:type="dxa" w:w="2160"/>
            <w:shd w:fill="D9E2F3" w:val="clear"/>
          </w:tcPr>
          <w:p>
            <w:pPr>
              <w:jc w:val="center"/>
            </w:pPr>
            <w:r/>
            <w:r>
              <w:rPr>
                <w:sz w:val="20"/>
              </w:rPr>
              <w:t>多线路服务，与互联网服务类型高度相关</w:t>
            </w:r>
          </w:p>
        </w:tc>
      </w:tr>
      <w:tr>
        <w:tc>
          <w:tcPr>
            <w:tcW w:type="dxa" w:w="2160"/>
          </w:tcPr>
          <w:p>
            <w:pPr>
              <w:jc w:val="center"/>
            </w:pPr>
            <w:r/>
            <w:r>
              <w:rPr>
                <w:sz w:val="20"/>
              </w:rPr>
              <w:t>7</w:t>
            </w:r>
          </w:p>
        </w:tc>
        <w:tc>
          <w:tcPr>
            <w:tcW w:type="dxa" w:w="2160"/>
          </w:tcPr>
          <w:p>
            <w:pPr>
              <w:jc w:val="center"/>
            </w:pPr>
            <w:r/>
            <w:r>
              <w:rPr>
                <w:sz w:val="20"/>
              </w:rPr>
              <w:t>R_Score</w:t>
            </w:r>
          </w:p>
        </w:tc>
        <w:tc>
          <w:tcPr>
            <w:tcW w:type="dxa" w:w="2160"/>
          </w:tcPr>
          <w:p>
            <w:pPr>
              <w:jc w:val="center"/>
            </w:pPr>
            <w:r/>
            <w:r>
              <w:rPr>
                <w:sz w:val="20"/>
              </w:rPr>
              <w:t>0.0255</w:t>
            </w:r>
          </w:p>
        </w:tc>
        <w:tc>
          <w:tcPr>
            <w:tcW w:type="dxa" w:w="2160"/>
          </w:tcPr>
          <w:p>
            <w:pPr>
              <w:jc w:val="center"/>
            </w:pPr>
            <w:r/>
            <w:r>
              <w:rPr>
                <w:sz w:val="20"/>
              </w:rPr>
              <w:t>最近性指标，新客户流失风险高于老客户</w:t>
            </w:r>
          </w:p>
        </w:tc>
      </w:tr>
      <w:tr>
        <w:tc>
          <w:tcPr>
            <w:tcW w:type="dxa" w:w="2160"/>
            <w:shd w:fill="D9E2F3" w:val="clear"/>
          </w:tcPr>
          <w:p>
            <w:pPr>
              <w:jc w:val="center"/>
            </w:pPr>
            <w:r/>
            <w:r>
              <w:rPr>
                <w:sz w:val="20"/>
              </w:rPr>
              <w:t>8</w:t>
            </w:r>
          </w:p>
        </w:tc>
        <w:tc>
          <w:tcPr>
            <w:tcW w:type="dxa" w:w="2160"/>
            <w:shd w:fill="D9E2F3" w:val="clear"/>
          </w:tcPr>
          <w:p>
            <w:pPr>
              <w:jc w:val="center"/>
            </w:pPr>
            <w:r/>
            <w:r>
              <w:rPr>
                <w:sz w:val="20"/>
              </w:rPr>
              <w:t>TotalCharges</w:t>
            </w:r>
          </w:p>
        </w:tc>
        <w:tc>
          <w:tcPr>
            <w:tcW w:type="dxa" w:w="2160"/>
            <w:shd w:fill="D9E2F3" w:val="clear"/>
          </w:tcPr>
          <w:p>
            <w:pPr>
              <w:jc w:val="center"/>
            </w:pPr>
            <w:r/>
            <w:r>
              <w:rPr>
                <w:sz w:val="20"/>
              </w:rPr>
              <w:t>0.0255</w:t>
            </w:r>
          </w:p>
        </w:tc>
        <w:tc>
          <w:tcPr>
            <w:tcW w:type="dxa" w:w="2160"/>
            <w:shd w:fill="D9E2F3" w:val="clear"/>
          </w:tcPr>
          <w:p>
            <w:pPr>
              <w:jc w:val="center"/>
            </w:pPr>
            <w:r/>
            <w:r>
              <w:rPr>
                <w:sz w:val="20"/>
              </w:rPr>
              <w:t>累计消费总额，长期客户的总消费更高但流失率更低</w:t>
            </w:r>
          </w:p>
        </w:tc>
      </w:tr>
    </w:tbl>
    <w:p/>
    <w:p>
      <w:r>
        <w:rPr>
          <w:b w:val="0"/>
          <w:sz w:val="24"/>
        </w:rPr>
        <w:t>SHAP分析与随机森林特征重要性相互印证，共同指出：PaymentMethod（支付方式）、MonthlyCharges（月费用）、RFM综合评分、tenure_WOE（在网时长证据权重）和InternetService（互联网服务类型）是驱动客户流失的核心因素。值得注意的是，Contract（合同类型）虽然在相关性分析中排名第一，但在SHAP模型归因中因与其他特征（如tenure、PaymentMethod）存在共线性而权重有所稀释。</w:t>
      </w:r>
    </w:p>
    <w:p>
      <w:pPr>
        <w:pStyle w:val="Heading2"/>
        <w:ind w:firstLine="0"/>
      </w:pPr>
      <w:r>
        <w:t>6.2 客户聚类画像</w:t>
      </w:r>
    </w:p>
    <w:p>
      <w:pPr>
        <w:ind w:firstLine="0"/>
      </w:pPr>
      <w:r>
        <w:rPr>
          <w:b w:val="0"/>
          <w:sz w:val="24"/>
        </w:rPr>
        <w:t>K-Means（K = 4）将客户分为四个特征差异显著的群体，画像特征如表7所示（完整可视化见附录experiments/kmeans_clustering.png和cluster_radar.png）。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4472C4" w:val="clear"/>
          </w:tcPr>
          <w:p>
            <w:pPr>
              <w:jc w:val="center"/>
            </w:pPr>
            <w:r/>
            <w:r>
              <w:rPr>
                <w:rFonts w:ascii="黑体" w:hAnsi="黑体" w:eastAsia="黑体"/>
                <w:b/>
                <w:color w:val="FFFFFF"/>
                <w:sz w:val="20"/>
              </w:rPr>
              <w:t>聚类</w:t>
            </w:r>
          </w:p>
        </w:tc>
        <w:tc>
          <w:tcPr>
            <w:tcW w:type="dxa" w:w="1234"/>
            <w:shd w:fill="4472C4" w:val="clear"/>
          </w:tcPr>
          <w:p>
            <w:pPr>
              <w:jc w:val="center"/>
            </w:pPr>
            <w:r/>
            <w:r>
              <w:rPr>
                <w:rFonts w:ascii="黑体" w:hAnsi="黑体" w:eastAsia="黑体"/>
                <w:b/>
                <w:color w:val="FFFFFF"/>
                <w:sz w:val="20"/>
              </w:rPr>
              <w:t>人数</w:t>
            </w:r>
          </w:p>
        </w:tc>
        <w:tc>
          <w:tcPr>
            <w:tcW w:type="dxa" w:w="1234"/>
            <w:shd w:fill="4472C4" w:val="clear"/>
          </w:tcPr>
          <w:p>
            <w:pPr>
              <w:jc w:val="center"/>
            </w:pPr>
            <w:r/>
            <w:r>
              <w:rPr>
                <w:rFonts w:ascii="黑体" w:hAnsi="黑体" w:eastAsia="黑体"/>
                <w:b/>
                <w:color w:val="FFFFFF"/>
                <w:sz w:val="20"/>
              </w:rPr>
              <w:t>流失率</w:t>
            </w:r>
          </w:p>
        </w:tc>
        <w:tc>
          <w:tcPr>
            <w:tcW w:type="dxa" w:w="1234"/>
            <w:shd w:fill="4472C4" w:val="clear"/>
          </w:tcPr>
          <w:p>
            <w:pPr>
              <w:jc w:val="center"/>
            </w:pPr>
            <w:r/>
            <w:r>
              <w:rPr>
                <w:rFonts w:ascii="黑体" w:hAnsi="黑体" w:eastAsia="黑体"/>
                <w:b/>
                <w:color w:val="FFFFFF"/>
                <w:sz w:val="20"/>
              </w:rPr>
              <w:t>月均消费</w:t>
            </w:r>
          </w:p>
        </w:tc>
        <w:tc>
          <w:tcPr>
            <w:tcW w:type="dxa" w:w="1234"/>
            <w:shd w:fill="4472C4" w:val="clear"/>
          </w:tcPr>
          <w:p>
            <w:pPr>
              <w:jc w:val="center"/>
            </w:pPr>
            <w:r/>
            <w:r>
              <w:rPr>
                <w:rFonts w:ascii="黑体" w:hAnsi="黑体" w:eastAsia="黑体"/>
                <w:b/>
                <w:color w:val="FFFFFF"/>
                <w:sz w:val="20"/>
              </w:rPr>
              <w:t>在网时长</w:t>
            </w:r>
          </w:p>
        </w:tc>
        <w:tc>
          <w:tcPr>
            <w:tcW w:type="dxa" w:w="1234"/>
            <w:shd w:fill="4472C4" w:val="clear"/>
          </w:tcPr>
          <w:p>
            <w:pPr>
              <w:jc w:val="center"/>
            </w:pPr>
            <w:r/>
            <w:r>
              <w:rPr>
                <w:rFonts w:ascii="黑体" w:hAnsi="黑体" w:eastAsia="黑体"/>
                <w:b/>
                <w:color w:val="FFFFFF"/>
                <w:sz w:val="20"/>
              </w:rPr>
              <w:t>特征画像</w:t>
            </w:r>
          </w:p>
        </w:tc>
        <w:tc>
          <w:tcPr>
            <w:tcW w:type="dxa" w:w="1234"/>
            <w:shd w:fill="4472C4" w:val="clear"/>
          </w:tcPr>
          <w:p>
            <w:pPr>
              <w:jc w:val="center"/>
            </w:pPr>
            <w:r/>
            <w:r>
              <w:rPr>
                <w:rFonts w:ascii="黑体" w:hAnsi="黑体" w:eastAsia="黑体"/>
                <w:b/>
                <w:color w:val="FFFFFF"/>
                <w:sz w:val="20"/>
              </w:rPr>
              <w:t>策略方向</w:t>
            </w:r>
          </w:p>
        </w:tc>
      </w:tr>
      <w:tr>
        <w:tc>
          <w:tcPr>
            <w:tcW w:type="dxa" w:w="1234"/>
          </w:tcPr>
          <w:p>
            <w:pPr>
              <w:jc w:val="center"/>
            </w:pPr>
            <w:r/>
            <w:r>
              <w:rPr>
                <w:sz w:val="20"/>
              </w:rPr>
              <w:t>Cluster 0</w:t>
            </w:r>
          </w:p>
        </w:tc>
        <w:tc>
          <w:tcPr>
            <w:tcW w:type="dxa" w:w="1234"/>
          </w:tcPr>
          <w:p>
            <w:pPr>
              <w:jc w:val="center"/>
            </w:pPr>
            <w:r/>
            <w:r>
              <w:rPr>
                <w:sz w:val="20"/>
              </w:rPr>
              <w:t>2,517 (35.7%)</w:t>
            </w:r>
          </w:p>
        </w:tc>
        <w:tc>
          <w:tcPr>
            <w:tcW w:type="dxa" w:w="1234"/>
          </w:tcPr>
          <w:p>
            <w:pPr>
              <w:jc w:val="center"/>
            </w:pPr>
            <w:r/>
            <w:r>
              <w:rPr>
                <w:sz w:val="20"/>
              </w:rPr>
              <w:t>30.4%</w:t>
            </w:r>
          </w:p>
        </w:tc>
        <w:tc>
          <w:tcPr>
            <w:tcW w:type="dxa" w:w="1234"/>
          </w:tcPr>
          <w:p>
            <w:pPr>
              <w:jc w:val="center"/>
            </w:pPr>
            <w:r/>
            <w:r>
              <w:rPr>
                <w:sz w:val="20"/>
              </w:rPr>
              <w:t>$64</w:t>
            </w:r>
          </w:p>
        </w:tc>
        <w:tc>
          <w:tcPr>
            <w:tcW w:type="dxa" w:w="1234"/>
          </w:tcPr>
          <w:p>
            <w:pPr>
              <w:jc w:val="center"/>
            </w:pPr>
            <w:r/>
            <w:r>
              <w:rPr>
                <w:sz w:val="20"/>
              </w:rPr>
              <w:t>中等</w:t>
            </w:r>
          </w:p>
        </w:tc>
        <w:tc>
          <w:tcPr>
            <w:tcW w:type="dxa" w:w="1234"/>
          </w:tcPr>
          <w:p>
            <w:pPr>
              <w:jc w:val="center"/>
            </w:pPr>
            <w:r/>
            <w:r>
              <w:rPr>
                <w:sz w:val="20"/>
              </w:rPr>
              <w:t>中等消费、中等忠诚度</w:t>
            </w:r>
          </w:p>
        </w:tc>
        <w:tc>
          <w:tcPr>
            <w:tcW w:type="dxa" w:w="1234"/>
          </w:tcPr>
          <w:p>
            <w:pPr>
              <w:jc w:val="center"/>
            </w:pPr>
            <w:r/>
            <w:r>
              <w:rPr>
                <w:sz w:val="20"/>
              </w:rPr>
              <w:t>交叉销售增值服务</w:t>
            </w:r>
          </w:p>
        </w:tc>
      </w:tr>
      <w:tr>
        <w:tc>
          <w:tcPr>
            <w:tcW w:type="dxa" w:w="1234"/>
            <w:shd w:fill="D9E2F3" w:val="clear"/>
          </w:tcPr>
          <w:p>
            <w:pPr>
              <w:jc w:val="center"/>
            </w:pPr>
            <w:r/>
            <w:r>
              <w:rPr>
                <w:sz w:val="20"/>
              </w:rPr>
              <w:t>Cluster 1</w:t>
            </w:r>
          </w:p>
        </w:tc>
        <w:tc>
          <w:tcPr>
            <w:tcW w:type="dxa" w:w="1234"/>
            <w:shd w:fill="D9E2F3" w:val="clear"/>
          </w:tcPr>
          <w:p>
            <w:pPr>
              <w:jc w:val="center"/>
            </w:pPr>
            <w:r/>
            <w:r>
              <w:rPr>
                <w:sz w:val="20"/>
              </w:rPr>
              <w:t>2,226 (31.6%)</w:t>
            </w:r>
          </w:p>
        </w:tc>
        <w:tc>
          <w:tcPr>
            <w:tcW w:type="dxa" w:w="1234"/>
            <w:shd w:fill="D9E2F3" w:val="clear"/>
          </w:tcPr>
          <w:p>
            <w:pPr>
              <w:jc w:val="center"/>
            </w:pPr>
            <w:r/>
            <w:r>
              <w:rPr>
                <w:sz w:val="20"/>
              </w:rPr>
              <w:t>21.3%</w:t>
            </w:r>
          </w:p>
        </w:tc>
        <w:tc>
          <w:tcPr>
            <w:tcW w:type="dxa" w:w="1234"/>
            <w:shd w:fill="D9E2F3" w:val="clear"/>
          </w:tcPr>
          <w:p>
            <w:pPr>
              <w:jc w:val="center"/>
            </w:pPr>
            <w:r/>
            <w:r>
              <w:rPr>
                <w:sz w:val="20"/>
              </w:rPr>
              <w:t>$95</w:t>
            </w:r>
          </w:p>
        </w:tc>
        <w:tc>
          <w:tcPr>
            <w:tcW w:type="dxa" w:w="1234"/>
            <w:shd w:fill="D9E2F3" w:val="clear"/>
          </w:tcPr>
          <w:p>
            <w:pPr>
              <w:jc w:val="center"/>
            </w:pPr>
            <w:r/>
            <w:r>
              <w:rPr>
                <w:sz w:val="20"/>
              </w:rPr>
              <w:t>较长</w:t>
            </w:r>
          </w:p>
        </w:tc>
        <w:tc>
          <w:tcPr>
            <w:tcW w:type="dxa" w:w="1234"/>
            <w:shd w:fill="D9E2F3" w:val="clear"/>
          </w:tcPr>
          <w:p>
            <w:pPr>
              <w:jc w:val="center"/>
            </w:pPr>
            <w:r/>
            <w:r>
              <w:rPr>
                <w:sz w:val="20"/>
              </w:rPr>
              <w:t>高消费、高忠诚度、VIP群体</w:t>
            </w:r>
          </w:p>
        </w:tc>
        <w:tc>
          <w:tcPr>
            <w:tcW w:type="dxa" w:w="1234"/>
            <w:shd w:fill="D9E2F3" w:val="clear"/>
          </w:tcPr>
          <w:p>
            <w:pPr>
              <w:jc w:val="center"/>
            </w:pPr>
            <w:r/>
            <w:r>
              <w:rPr>
                <w:sz w:val="20"/>
              </w:rPr>
              <w:t>核心VIP维护</w:t>
            </w:r>
          </w:p>
        </w:tc>
      </w:tr>
      <w:tr>
        <w:tc>
          <w:tcPr>
            <w:tcW w:type="dxa" w:w="1234"/>
          </w:tcPr>
          <w:p>
            <w:pPr>
              <w:jc w:val="center"/>
            </w:pPr>
            <w:r/>
            <w:r>
              <w:rPr>
                <w:sz w:val="20"/>
              </w:rPr>
              <w:t>Cluster 2</w:t>
            </w:r>
          </w:p>
        </w:tc>
        <w:tc>
          <w:tcPr>
            <w:tcW w:type="dxa" w:w="1234"/>
          </w:tcPr>
          <w:p>
            <w:pPr>
              <w:jc w:val="center"/>
            </w:pPr>
            <w:r/>
            <w:r>
              <w:rPr>
                <w:sz w:val="20"/>
              </w:rPr>
              <w:t>946 (13.4%)</w:t>
            </w:r>
          </w:p>
        </w:tc>
        <w:tc>
          <w:tcPr>
            <w:tcW w:type="dxa" w:w="1234"/>
          </w:tcPr>
          <w:p>
            <w:pPr>
              <w:jc w:val="center"/>
            </w:pPr>
            <w:r/>
            <w:r>
              <w:rPr>
                <w:sz w:val="20"/>
              </w:rPr>
              <w:t>60.9%</w:t>
            </w:r>
          </w:p>
        </w:tc>
        <w:tc>
          <w:tcPr>
            <w:tcW w:type="dxa" w:w="1234"/>
          </w:tcPr>
          <w:p>
            <w:pPr>
              <w:jc w:val="center"/>
            </w:pPr>
            <w:r/>
            <w:r>
              <w:rPr>
                <w:sz w:val="20"/>
              </w:rPr>
              <w:t>$58</w:t>
            </w:r>
          </w:p>
        </w:tc>
        <w:tc>
          <w:tcPr>
            <w:tcW w:type="dxa" w:w="1234"/>
          </w:tcPr>
          <w:p>
            <w:pPr>
              <w:jc w:val="center"/>
            </w:pPr>
            <w:r/>
            <w:r>
              <w:rPr>
                <w:sz w:val="20"/>
              </w:rPr>
              <w:t>较短</w:t>
            </w:r>
          </w:p>
        </w:tc>
        <w:tc>
          <w:tcPr>
            <w:tcW w:type="dxa" w:w="1234"/>
          </w:tcPr>
          <w:p>
            <w:pPr>
              <w:jc w:val="center"/>
            </w:pPr>
            <w:r/>
            <w:r>
              <w:rPr>
                <w:sz w:val="20"/>
              </w:rPr>
              <w:t>月付为主、短在网、极高流失风险</w:t>
            </w:r>
          </w:p>
        </w:tc>
        <w:tc>
          <w:tcPr>
            <w:tcW w:type="dxa" w:w="1234"/>
          </w:tcPr>
          <w:p>
            <w:pPr>
              <w:jc w:val="center"/>
            </w:pPr>
            <w:r/>
            <w:r>
              <w:rPr>
                <w:sz w:val="20"/>
              </w:rPr>
              <w:t>高危优先干预</w:t>
            </w:r>
          </w:p>
        </w:tc>
      </w:tr>
      <w:tr>
        <w:tc>
          <w:tcPr>
            <w:tcW w:type="dxa" w:w="1234"/>
            <w:shd w:fill="D9E2F3" w:val="clear"/>
          </w:tcPr>
          <w:p>
            <w:pPr>
              <w:jc w:val="center"/>
            </w:pPr>
            <w:r/>
            <w:r>
              <w:rPr>
                <w:sz w:val="20"/>
              </w:rPr>
              <w:t>Cluster 3</w:t>
            </w:r>
          </w:p>
        </w:tc>
        <w:tc>
          <w:tcPr>
            <w:tcW w:type="dxa" w:w="1234"/>
            <w:shd w:fill="D9E2F3" w:val="clear"/>
          </w:tcPr>
          <w:p>
            <w:pPr>
              <w:jc w:val="center"/>
            </w:pPr>
            <w:r/>
            <w:r>
              <w:rPr>
                <w:sz w:val="20"/>
              </w:rPr>
              <w:t>1,354 (19.2%)</w:t>
            </w:r>
          </w:p>
        </w:tc>
        <w:tc>
          <w:tcPr>
            <w:tcW w:type="dxa" w:w="1234"/>
            <w:shd w:fill="D9E2F3" w:val="clear"/>
          </w:tcPr>
          <w:p>
            <w:pPr>
              <w:jc w:val="center"/>
            </w:pPr>
            <w:r/>
            <w:r>
              <w:rPr>
                <w:sz w:val="20"/>
              </w:rPr>
              <w:t>4.1%</w:t>
            </w:r>
          </w:p>
        </w:tc>
        <w:tc>
          <w:tcPr>
            <w:tcW w:type="dxa" w:w="1234"/>
            <w:shd w:fill="D9E2F3" w:val="clear"/>
          </w:tcPr>
          <w:p>
            <w:pPr>
              <w:jc w:val="center"/>
            </w:pPr>
            <w:r/>
            <w:r>
              <w:rPr>
                <w:sz w:val="20"/>
              </w:rPr>
              <w:t>$21</w:t>
            </w:r>
          </w:p>
        </w:tc>
        <w:tc>
          <w:tcPr>
            <w:tcW w:type="dxa" w:w="1234"/>
            <w:shd w:fill="D9E2F3" w:val="clear"/>
          </w:tcPr>
          <w:p>
            <w:pPr>
              <w:jc w:val="center"/>
            </w:pPr>
            <w:r/>
            <w:r>
              <w:rPr>
                <w:sz w:val="20"/>
              </w:rPr>
              <w:t>长</w:t>
            </w:r>
          </w:p>
        </w:tc>
        <w:tc>
          <w:tcPr>
            <w:tcW w:type="dxa" w:w="1234"/>
            <w:shd w:fill="D9E2F3" w:val="clear"/>
          </w:tcPr>
          <w:p>
            <w:pPr>
              <w:jc w:val="center"/>
            </w:pPr>
            <w:r/>
            <w:r>
              <w:rPr>
                <w:sz w:val="20"/>
              </w:rPr>
              <w:t>低消费、高稳定性、基础服务用户</w:t>
            </w:r>
          </w:p>
        </w:tc>
        <w:tc>
          <w:tcPr>
            <w:tcW w:type="dxa" w:w="1234"/>
            <w:shd w:fill="D9E2F3" w:val="clear"/>
          </w:tcPr>
          <w:p>
            <w:pPr>
              <w:jc w:val="center"/>
            </w:pPr>
            <w:r/>
            <w:r>
              <w:rPr>
                <w:sz w:val="20"/>
              </w:rPr>
              <w:t>稳定群体保持</w:t>
            </w:r>
          </w:p>
        </w:tc>
      </w:tr>
    </w:tbl>
    <w:p/>
    <w:p>
      <w:r>
        <w:rPr>
          <w:b w:val="0"/>
          <w:sz w:val="24"/>
        </w:rPr>
        <w:t>聚类结果清晰揭示了客户价值的异质性：Cluster 1是高价值VIP群体（月均$95，流失率21.3%），是运营商利润的核心来源；Cluster 2是急需干预的高危群体（流失率60.9%，946人），若不加干预将造成大量客户流失；Cluster 3是稳定但低价值的群体（流失率仅4.1%）。</w:t>
      </w:r>
    </w:p>
    <w:p>
      <w:pPr>
        <w:pStyle w:val="Heading2"/>
        <w:ind w:firstLine="0"/>
      </w:pPr>
      <w:r>
        <w:t>6.3 DBSCAN聚类对比</w:t>
      </w:r>
    </w:p>
    <w:p>
      <w:r>
        <w:rPr>
          <w:b w:val="0"/>
          <w:sz w:val="24"/>
        </w:rPr>
        <w:t>DBSCAN（eps = 0.5, min_samples = 10）的聚类结果与K-Means形成互补（见附录experiments/dbscan_clustering.png）。DBSCAN自动识别了若干个密集客户群体，同时标记出部分"噪声点"——这些客户的行为模式明显异于主流群体，可能对应着异常账户、欺诈行为或特殊需求客户，值得进一步的人工调查。与K-Means的对比表明，两种聚类方法各有优势：K-Means适合业务分组和策略制定，DBSCAN适合异常检测和个案分析。</w:t>
      </w:r>
    </w:p>
    <w:p>
      <w:pPr>
        <w:pStyle w:val="Heading2"/>
        <w:ind w:firstLine="0"/>
      </w:pPr>
      <w:r>
        <w:t>6.4 错误案例分析</w:t>
      </w:r>
    </w:p>
    <w:p>
      <w:r>
        <w:rPr>
          <w:b w:val="0"/>
          <w:sz w:val="24"/>
        </w:rPr>
        <w:t>对随机森林模型的错误预测进行抽样分析，发现两类典型的错误模式。假阴性（FN，预测"不流失"实际"流失"）：此类客户往往具有中等在网时长和中等月消费，其行为特征与"忠诚客户"相似但实际已流失。这提示我们需要更多的行为动态特征（如最近三个月的费用变化趋势、服务使用频率变化）来捕捉流失前兆信号。假阳性（FP，预测"流失"实际"不流失"）：此类客户多为月付合同、使用电子支票支付的在网客户。虽然模型将其判定为"高风险"，但这些客户可能因为习惯或惯性而暂时未流失，实际上是"潜在流失客户"，提前干预仍具有预防价值。</w:t>
      </w:r>
    </w:p>
    <w:p>
      <w:pPr>
        <w:pStyle w:val="Heading1"/>
        <w:ind w:firstLine="0"/>
      </w:pPr>
      <w:r>
        <w:t>7. 业务策略建议</w:t>
      </w:r>
    </w:p>
    <w:p>
      <w:pPr>
        <w:ind w:firstLine="0"/>
      </w:pPr>
      <w:r>
        <w:rPr>
          <w:b w:val="0"/>
          <w:sz w:val="24"/>
        </w:rPr>
        <w:t>基于模型分析结果和聚类画像，提出六大方向的业务策略建议，汇总如表8所示。</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
              <w:rPr>
                <w:rFonts w:ascii="黑体" w:hAnsi="黑体" w:eastAsia="黑体"/>
                <w:b/>
                <w:color w:val="FFFFFF"/>
                <w:sz w:val="20"/>
              </w:rPr>
              <w:t>策略</w:t>
            </w:r>
          </w:p>
        </w:tc>
        <w:tc>
          <w:tcPr>
            <w:tcW w:type="dxa" w:w="2160"/>
            <w:shd w:fill="4472C4" w:val="clear"/>
          </w:tcPr>
          <w:p>
            <w:pPr>
              <w:jc w:val="center"/>
            </w:pPr>
            <w:r/>
            <w:r>
              <w:rPr>
                <w:rFonts w:ascii="黑体" w:hAnsi="黑体" w:eastAsia="黑体"/>
                <w:b/>
                <w:color w:val="FFFFFF"/>
                <w:sz w:val="20"/>
              </w:rPr>
              <w:t>数据发现</w:t>
            </w:r>
          </w:p>
        </w:tc>
        <w:tc>
          <w:tcPr>
            <w:tcW w:type="dxa" w:w="2160"/>
            <w:shd w:fill="4472C4" w:val="clear"/>
          </w:tcPr>
          <w:p>
            <w:pPr>
              <w:jc w:val="center"/>
            </w:pPr>
            <w:r/>
            <w:r>
              <w:rPr>
                <w:rFonts w:ascii="黑体" w:hAnsi="黑体" w:eastAsia="黑体"/>
                <w:b/>
                <w:color w:val="FFFFFF"/>
                <w:sz w:val="20"/>
              </w:rPr>
              <w:t>具体措施</w:t>
            </w:r>
          </w:p>
        </w:tc>
        <w:tc>
          <w:tcPr>
            <w:tcW w:type="dxa" w:w="2160"/>
            <w:shd w:fill="4472C4" w:val="clear"/>
          </w:tcPr>
          <w:p>
            <w:pPr>
              <w:jc w:val="center"/>
            </w:pPr>
            <w:r/>
            <w:r>
              <w:rPr>
                <w:rFonts w:ascii="黑体" w:hAnsi="黑体" w:eastAsia="黑体"/>
                <w:b/>
                <w:color w:val="FFFFFF"/>
                <w:sz w:val="20"/>
              </w:rPr>
              <w:t>预期效果</w:t>
            </w:r>
          </w:p>
        </w:tc>
      </w:tr>
      <w:tr>
        <w:tc>
          <w:tcPr>
            <w:tcW w:type="dxa" w:w="2160"/>
          </w:tcPr>
          <w:p>
            <w:pPr>
              <w:jc w:val="center"/>
            </w:pPr>
            <w:r/>
            <w:r>
              <w:rPr>
                <w:sz w:val="20"/>
              </w:rPr>
              <w:t>合同类型优化</w:t>
            </w:r>
          </w:p>
        </w:tc>
        <w:tc>
          <w:tcPr>
            <w:tcW w:type="dxa" w:w="2160"/>
          </w:tcPr>
          <w:p>
            <w:pPr>
              <w:jc w:val="center"/>
            </w:pPr>
            <w:r/>
            <w:r>
              <w:rPr>
                <w:sz w:val="20"/>
              </w:rPr>
              <w:t>月付客户流失率远超长期合同客户</w:t>
            </w:r>
          </w:p>
        </w:tc>
        <w:tc>
          <w:tcPr>
            <w:tcW w:type="dxa" w:w="2160"/>
          </w:tcPr>
          <w:p>
            <w:pPr>
              <w:jc w:val="center"/>
            </w:pPr>
            <w:r/>
            <w:r>
              <w:rPr>
                <w:sz w:val="20"/>
              </w:rPr>
              <w:t>推出有吸引力的1年/2年合同套餐，提供折扣或免费增值服务作为签约激励</w:t>
            </w:r>
          </w:p>
        </w:tc>
        <w:tc>
          <w:tcPr>
            <w:tcW w:type="dxa" w:w="2160"/>
          </w:tcPr>
          <w:p>
            <w:pPr>
              <w:jc w:val="center"/>
            </w:pPr>
            <w:r/>
            <w:r>
              <w:rPr>
                <w:sz w:val="20"/>
              </w:rPr>
              <w:t>降低流失率15-20%</w:t>
            </w:r>
          </w:p>
        </w:tc>
      </w:tr>
      <w:tr>
        <w:tc>
          <w:tcPr>
            <w:tcW w:type="dxa" w:w="2160"/>
            <w:shd w:fill="D9E2F3" w:val="clear"/>
          </w:tcPr>
          <w:p>
            <w:pPr>
              <w:jc w:val="center"/>
            </w:pPr>
            <w:r/>
            <w:r>
              <w:rPr>
                <w:sz w:val="20"/>
              </w:rPr>
              <w:t>增值服务捆绑</w:t>
            </w:r>
          </w:p>
        </w:tc>
        <w:tc>
          <w:tcPr>
            <w:tcW w:type="dxa" w:w="2160"/>
            <w:shd w:fill="D9E2F3" w:val="clear"/>
          </w:tcPr>
          <w:p>
            <w:pPr>
              <w:jc w:val="center"/>
            </w:pPr>
            <w:r/>
            <w:r>
              <w:rPr>
                <w:sz w:val="20"/>
              </w:rPr>
              <w:t>未订阅OnlineSecurity/TechSupport者流失率显著偏高</w:t>
            </w:r>
          </w:p>
        </w:tc>
        <w:tc>
          <w:tcPr>
            <w:tcW w:type="dxa" w:w="2160"/>
            <w:shd w:fill="D9E2F3" w:val="clear"/>
          </w:tcPr>
          <w:p>
            <w:pPr>
              <w:jc w:val="center"/>
            </w:pPr>
            <w:r/>
            <w:r>
              <w:rPr>
                <w:sz w:val="20"/>
              </w:rPr>
              <w:t>对高危客户免费试用1个月安全服务，体验后引导付费转化</w:t>
            </w:r>
          </w:p>
        </w:tc>
        <w:tc>
          <w:tcPr>
            <w:tcW w:type="dxa" w:w="2160"/>
            <w:shd w:fill="D9E2F3" w:val="clear"/>
          </w:tcPr>
          <w:p>
            <w:pPr>
              <w:jc w:val="center"/>
            </w:pPr>
            <w:r/>
            <w:r>
              <w:rPr>
                <w:sz w:val="20"/>
              </w:rPr>
              <w:t>提升客户粘性和服务切换成本</w:t>
            </w:r>
          </w:p>
        </w:tc>
      </w:tr>
      <w:tr>
        <w:tc>
          <w:tcPr>
            <w:tcW w:type="dxa" w:w="2160"/>
          </w:tcPr>
          <w:p>
            <w:pPr>
              <w:jc w:val="center"/>
            </w:pPr>
            <w:r/>
            <w:r>
              <w:rPr>
                <w:sz w:val="20"/>
              </w:rPr>
              <w:t>支付方式引导</w:t>
            </w:r>
          </w:p>
        </w:tc>
        <w:tc>
          <w:tcPr>
            <w:tcW w:type="dxa" w:w="2160"/>
          </w:tcPr>
          <w:p>
            <w:pPr>
              <w:jc w:val="center"/>
            </w:pPr>
            <w:r/>
            <w:r>
              <w:rPr>
                <w:sz w:val="20"/>
              </w:rPr>
              <w:t>电子支票支付者流失率是自动转账者的2-3倍</w:t>
            </w:r>
          </w:p>
        </w:tc>
        <w:tc>
          <w:tcPr>
            <w:tcW w:type="dxa" w:w="2160"/>
          </w:tcPr>
          <w:p>
            <w:pPr>
              <w:jc w:val="center"/>
            </w:pPr>
            <w:r/>
            <w:r>
              <w:rPr>
                <w:sz w:val="20"/>
              </w:rPr>
              <w:t>引导客户转为自动转账/信用卡支付，给予小额账单折扣作为激励</w:t>
            </w:r>
          </w:p>
        </w:tc>
        <w:tc>
          <w:tcPr>
            <w:tcW w:type="dxa" w:w="2160"/>
          </w:tcPr>
          <w:p>
            <w:pPr>
              <w:jc w:val="center"/>
            </w:pPr>
            <w:r/>
            <w:r>
              <w:rPr>
                <w:sz w:val="20"/>
              </w:rPr>
              <w:t>提升客户生命周期价值</w:t>
            </w:r>
          </w:p>
        </w:tc>
      </w:tr>
      <w:tr>
        <w:tc>
          <w:tcPr>
            <w:tcW w:type="dxa" w:w="2160"/>
            <w:shd w:fill="D9E2F3" w:val="clear"/>
          </w:tcPr>
          <w:p>
            <w:pPr>
              <w:jc w:val="center"/>
            </w:pPr>
            <w:r/>
            <w:r>
              <w:rPr>
                <w:sz w:val="20"/>
              </w:rPr>
              <w:t>分群精准运营</w:t>
            </w:r>
          </w:p>
        </w:tc>
        <w:tc>
          <w:tcPr>
            <w:tcW w:type="dxa" w:w="2160"/>
            <w:shd w:fill="D9E2F3" w:val="clear"/>
          </w:tcPr>
          <w:p>
            <w:pPr>
              <w:jc w:val="center"/>
            </w:pPr>
            <w:r/>
            <w:r>
              <w:rPr>
                <w:sz w:val="20"/>
              </w:rPr>
              <w:t>不同聚类群体流失风险和价值差异显著</w:t>
            </w:r>
          </w:p>
        </w:tc>
        <w:tc>
          <w:tcPr>
            <w:tcW w:type="dxa" w:w="2160"/>
            <w:shd w:fill="D9E2F3" w:val="clear"/>
          </w:tcPr>
          <w:p>
            <w:pPr>
              <w:jc w:val="center"/>
            </w:pPr>
            <w:r/>
            <w:r>
              <w:rPr>
                <w:sz w:val="20"/>
              </w:rPr>
              <w:t>Cluster 1: VIP权益升级和专属客服; Cluster 2: 针对性优惠券和主动外呼; Cluster 0: 交叉销售增值服务; Cluster 3: 保持现有服务</w:t>
            </w:r>
          </w:p>
        </w:tc>
        <w:tc>
          <w:tcPr>
            <w:tcW w:type="dxa" w:w="2160"/>
            <w:shd w:fill="D9E2F3" w:val="clear"/>
          </w:tcPr>
          <w:p>
            <w:pPr>
              <w:jc w:val="center"/>
            </w:pPr>
            <w:r/>
            <w:r>
              <w:rPr>
                <w:sz w:val="20"/>
              </w:rPr>
              <w:t>精准投放，提升运营ROI</w:t>
            </w:r>
          </w:p>
        </w:tc>
      </w:tr>
      <w:tr>
        <w:tc>
          <w:tcPr>
            <w:tcW w:type="dxa" w:w="2160"/>
          </w:tcPr>
          <w:p>
            <w:pPr>
              <w:jc w:val="center"/>
            </w:pPr>
            <w:r/>
            <w:r>
              <w:rPr>
                <w:sz w:val="20"/>
              </w:rPr>
              <w:t>早期预警系统</w:t>
            </w:r>
          </w:p>
        </w:tc>
        <w:tc>
          <w:tcPr>
            <w:tcW w:type="dxa" w:w="2160"/>
          </w:tcPr>
          <w:p>
            <w:pPr>
              <w:jc w:val="center"/>
            </w:pPr>
            <w:r/>
            <w:r>
              <w:rPr>
                <w:sz w:val="20"/>
              </w:rPr>
              <w:t>tenure（在网时长）是最重要的预测特征</w:t>
            </w:r>
          </w:p>
        </w:tc>
        <w:tc>
          <w:tcPr>
            <w:tcW w:type="dxa" w:w="2160"/>
          </w:tcPr>
          <w:p>
            <w:pPr>
              <w:jc w:val="center"/>
            </w:pPr>
            <w:r/>
            <w:r>
              <w:rPr>
                <w:sz w:val="20"/>
              </w:rPr>
              <w:t>建立分级预警：3个月内加强新手引导，6-12月推送个性化优惠，12月以上启动忠诚度计划</w:t>
            </w:r>
          </w:p>
        </w:tc>
        <w:tc>
          <w:tcPr>
            <w:tcW w:type="dxa" w:w="2160"/>
          </w:tcPr>
          <w:p>
            <w:pPr>
              <w:jc w:val="center"/>
            </w:pPr>
            <w:r/>
            <w:r>
              <w:rPr>
                <w:sz w:val="20"/>
              </w:rPr>
              <w:t>早期干预，降低新客户流失</w:t>
            </w:r>
          </w:p>
        </w:tc>
      </w:tr>
      <w:tr>
        <w:tc>
          <w:tcPr>
            <w:tcW w:type="dxa" w:w="2160"/>
            <w:shd w:fill="D9E2F3" w:val="clear"/>
          </w:tcPr>
          <w:p>
            <w:pPr>
              <w:jc w:val="center"/>
            </w:pPr>
            <w:r/>
            <w:r>
              <w:rPr>
                <w:sz w:val="20"/>
              </w:rPr>
              <w:t>光纤服务优化</w:t>
            </w:r>
          </w:p>
        </w:tc>
        <w:tc>
          <w:tcPr>
            <w:tcW w:type="dxa" w:w="2160"/>
            <w:shd w:fill="D9E2F3" w:val="clear"/>
          </w:tcPr>
          <w:p>
            <w:pPr>
              <w:jc w:val="center"/>
            </w:pPr>
            <w:r/>
            <w:r>
              <w:rPr>
                <w:sz w:val="20"/>
              </w:rPr>
              <w:t>Fiber Optic用户付费高但流失率也较高</w:t>
            </w:r>
          </w:p>
        </w:tc>
        <w:tc>
          <w:tcPr>
            <w:tcW w:type="dxa" w:w="2160"/>
            <w:shd w:fill="D9E2F3" w:val="clear"/>
          </w:tcPr>
          <w:p>
            <w:pPr>
              <w:jc w:val="center"/>
            </w:pPr>
            <w:r/>
            <w:r>
              <w:rPr>
                <w:sz w:val="20"/>
              </w:rPr>
              <w:t>排查光纤服务体验痛点（网速稳定性、客服响应），针对性改善</w:t>
            </w:r>
          </w:p>
        </w:tc>
        <w:tc>
          <w:tcPr>
            <w:tcW w:type="dxa" w:w="2160"/>
            <w:shd w:fill="D9E2F3" w:val="clear"/>
          </w:tcPr>
          <w:p>
            <w:pPr>
              <w:jc w:val="center"/>
            </w:pPr>
            <w:r/>
            <w:r>
              <w:rPr>
                <w:sz w:val="20"/>
              </w:rPr>
              <w:t>降低高ARPU客户流失率10%</w:t>
            </w:r>
          </w:p>
        </w:tc>
      </w:tr>
    </w:tbl>
    <w:p/>
    <w:p>
      <w:r>
        <w:rPr>
          <w:b w:val="0"/>
          <w:sz w:val="24"/>
        </w:rPr>
        <w:t>上述建议均基于数据分析和模型输出的客观结论，实施前建议进行小规模A/B测试以验证策略有效性。</w:t>
      </w:r>
    </w:p>
    <w:p>
      <w:pPr>
        <w:pStyle w:val="Heading1"/>
        <w:ind w:firstLine="0"/>
      </w:pPr>
      <w:r>
        <w:t>8. 结论与展望</w:t>
      </w:r>
    </w:p>
    <w:p>
      <w:pPr>
        <w:pStyle w:val="Heading2"/>
        <w:ind w:firstLine="0"/>
      </w:pPr>
      <w:r>
        <w:t>8.1 主要发现</w:t>
      </w:r>
    </w:p>
    <w:p>
      <w:r>
        <w:rPr>
          <w:b w:val="0"/>
          <w:sz w:val="24"/>
        </w:rPr>
        <w:t>（1）在模型性能方面，随机森林在真实不平衡测试集上以ROC-AUC = 0.8386、Recall = 0.7086的综合表现成为最优模型。SMOTE过采样有效提升了模型对流失客户的识别能力，将Recall从无SMOTE的0.4893提升到0.7086。</w:t>
      </w:r>
    </w:p>
    <w:p>
      <w:r>
        <w:rPr>
          <w:b w:val="0"/>
          <w:sz w:val="24"/>
        </w:rPr>
        <w:t>（2）在关键特征方面，SHAP分析和随机森林特征重要性一致表明，tenure（在网时长）、RFM综合评分、MonthlyCharges（月费用）、PaymentMethod（支付方式）和InternetService（互联网服务类型）是驱动客户流失的核心因素。</w:t>
      </w:r>
    </w:p>
    <w:p>
      <w:r>
        <w:rPr>
          <w:b w:val="0"/>
          <w:sz w:val="24"/>
        </w:rPr>
        <w:t>（3）在客户分群方面，K-Means将客户分为4个具有明显差异的群体。其中Cluster 2（946人，流失率60.9%）是需要优先干预的高危群体；Cluster 1（2,226人，月费$95，流失率21.3%）是高价值VIP客户，需要重点维护。</w:t>
      </w:r>
    </w:p>
    <w:p>
      <w:r>
        <w:rPr>
          <w:b w:val="0"/>
          <w:sz w:val="24"/>
        </w:rPr>
        <w:t>（4）在消融实验方面，SMOTE是召回率提升的关键，RFM与WOE提供了可解释的业务特征补充。</w:t>
      </w:r>
    </w:p>
    <w:p>
      <w:pPr>
        <w:pStyle w:val="Heading2"/>
        <w:ind w:firstLine="0"/>
      </w:pPr>
      <w:r>
        <w:t>8.2 局限性</w:t>
      </w:r>
    </w:p>
    <w:p>
      <w:r>
        <w:rPr>
          <w:b w:val="0"/>
          <w:sz w:val="24"/>
        </w:rPr>
        <w:t>（1）数据规模有限：数据集仅包含7,043条记录，对于捕捉所有流失模式可能不够充分。（2）特征维度受限：缺少客户行为时序数据（如通话记录变化、投诉历史），这些动态信息对流失预测可能更为关键。（3）外部因素缺失：未考虑竞争对手活动、经济环境变化等外部因素对客户流失的影响。（4）模型泛化性：实验基于单一数据集，尚未在其他电信企业数据上验证模型的迁移能力。</w:t>
      </w:r>
    </w:p>
    <w:p>
      <w:pPr>
        <w:pStyle w:val="Heading2"/>
        <w:ind w:firstLine="0"/>
      </w:pPr>
      <w:r>
        <w:t>8.3 未来改进方向</w:t>
      </w:r>
    </w:p>
    <w:p>
      <w:r>
        <w:rPr>
          <w:b w:val="0"/>
          <w:sz w:val="24"/>
        </w:rPr>
        <w:t>（1）引入MLP、Wide&amp;Deep等神经网络模型进行对比实验，探索深度学习在结构化数据上的潜力。（2）构建客户行为的时间序列特征（如费用的环比/同比变化率、服务使用的增减趋势），捕捉流失的动态前兆。（3）探索Tomek Links、ENN等欠采样方法与SMOTE的组合策略，寻找更优的不平衡处理方案。（4）设计在线A/B测试框架，评估策略的实际业务效果。（5）开发实时流失预测与自动告警系统，实现模型工程化落地。（6）引入外部数据源（区域经济指标、社交媒体情感分析等）丰富特征维度。</w:t>
      </w:r>
    </w:p>
    <w:p>
      <w:pPr>
        <w:pStyle w:val="Heading1"/>
        <w:ind w:firstLine="0"/>
      </w:pPr>
      <w:r>
        <w:t>参考文献</w:t>
      </w:r>
    </w:p>
    <w:p>
      <w:pPr>
        <w:spacing w:after="40"/>
        <w:ind w:firstLine="0"/>
      </w:pPr>
      <w:r>
        <w:rPr>
          <w:sz w:val="21"/>
        </w:rPr>
        <w:t>[1] Reichheld F F, Sasser W E. Zero defections: quality comes to services[J]. Harvard Business Review, 1990, 68(5): 105-111.</w:t>
      </w:r>
    </w:p>
    <w:p>
      <w:pPr>
        <w:spacing w:after="40"/>
        <w:ind w:firstLine="0"/>
      </w:pPr>
      <w:r>
        <w:rPr>
          <w:sz w:val="21"/>
        </w:rPr>
        <w:t>[2] Lundberg S M, Lee S I. A unified approach to interpreting model predictions[C]. Advances in Neural Information Processing Systems, 2017: 4765-4774.</w:t>
      </w:r>
    </w:p>
    <w:p>
      <w:pPr>
        <w:spacing w:after="40"/>
        <w:ind w:firstLine="0"/>
      </w:pPr>
      <w:r>
        <w:rPr>
          <w:sz w:val="21"/>
        </w:rPr>
        <w:t>[3] Lemmens A, Croux C. Bagging and boosting classification trees to predict churn[J]. Journal of Marketing Research, 2006, 43(2): 276-286.</w:t>
      </w:r>
    </w:p>
    <w:p>
      <w:pPr>
        <w:spacing w:after="40"/>
        <w:ind w:firstLine="0"/>
      </w:pPr>
      <w:r>
        <w:rPr>
          <w:sz w:val="21"/>
        </w:rPr>
        <w:t>[4] Chen T, Guestrin C. XGBoost: a scalable tree boosting system[C]. Proceedings of the 22nd ACM SIGKDD, 2016: 785-794.</w:t>
      </w:r>
    </w:p>
    <w:p>
      <w:pPr>
        <w:spacing w:after="40"/>
        <w:ind w:firstLine="0"/>
      </w:pPr>
      <w:r>
        <w:rPr>
          <w:sz w:val="21"/>
        </w:rPr>
        <w:t>[5] Ke G, Meng Q, Finley T, et al. LightGBM: a highly efficient gradient boosting decision tree[C]. Advances in NIPS, 2017: 3146-3154.</w:t>
      </w:r>
    </w:p>
    <w:p>
      <w:pPr>
        <w:spacing w:after="40"/>
        <w:ind w:firstLine="0"/>
      </w:pPr>
      <w:r>
        <w:rPr>
          <w:sz w:val="21"/>
        </w:rPr>
        <w:t>[6] Burez J, Van den Poel D. Handling class imbalance in customer churn prediction[J]. Expert Systems with Applications, 2009, 36(3): 4626-4636.</w:t>
      </w:r>
    </w:p>
    <w:p>
      <w:pPr>
        <w:spacing w:after="40"/>
        <w:ind w:firstLine="0"/>
      </w:pPr>
      <w:r>
        <w:rPr>
          <w:sz w:val="21"/>
        </w:rPr>
        <w:t>[7] Chawla N V, Bowyer K W, Hall L O, et al. SMOTE: synthetic minority over-sampling technique[J]. Journal of Artificial Intelligence Research, 2002, 16: 321-357.</w:t>
      </w:r>
    </w:p>
    <w:p>
      <w:pPr>
        <w:spacing w:after="40"/>
        <w:ind w:firstLine="0"/>
      </w:pPr>
      <w:r>
        <w:rPr>
          <w:sz w:val="21"/>
        </w:rPr>
        <w:t>[8] Verbeke W, Dejaeger K, Martens D, et al. New insights into churn prediction in the telecommunication sector[J]. European Journal of Operational Research, 2012, 218(1): 211-229.</w:t>
      </w:r>
    </w:p>
    <w:p>
      <w:pPr>
        <w:spacing w:after="40"/>
        <w:ind w:firstLine="0"/>
      </w:pPr>
      <w:r>
        <w:rPr>
          <w:sz w:val="21"/>
        </w:rPr>
        <w:t>[9] Wangperawong A, Brun C, Laudy O, et al. Churn analysis using deep convolutional neural networks and autoencoders[J]. arXiv:1604.05377, 2016.</w:t>
      </w:r>
    </w:p>
    <w:p>
      <w:pPr>
        <w:spacing w:after="40"/>
        <w:ind w:firstLine="0"/>
      </w:pPr>
      <w:r>
        <w:rPr>
          <w:sz w:val="21"/>
        </w:rPr>
        <w:t>[10] Grinsztajn L, Oyallon E, Varoquaux G. Why do tree-based models still outperform deep learning on typical tabular data?[C]. Advances in NIPS, 2022.</w:t>
      </w:r>
    </w:p>
    <w:p>
      <w:pPr>
        <w:spacing w:after="40"/>
        <w:ind w:firstLine="0"/>
      </w:pPr>
      <w:r>
        <w:rPr>
          <w:sz w:val="21"/>
        </w:rPr>
        <w:t>[11] Ribeiro M T, Singh S, Guestrin C. "Why should I trust you?": explaining the predictions of any classifier[C]. Proceedings of the 22nd ACM SIGKDD, 2016: 1135-1144.</w:t>
      </w:r>
    </w:p>
    <w:p>
      <w:pPr>
        <w:spacing w:after="40"/>
        <w:ind w:firstLine="0"/>
      </w:pPr>
      <w:r>
        <w:rPr>
          <w:sz w:val="21"/>
        </w:rPr>
        <w:t>[12] IBM. Telco Customer Churn Dataset[DB/OL]. Kaggle, https://www.kaggle.com/datasets/blastchar/telco-customer-churn, 2018.</w:t>
      </w:r>
    </w:p>
    <w:p>
      <w:pPr>
        <w:spacing w:after="40"/>
        <w:ind w:firstLine="0"/>
      </w:pPr>
      <w:r>
        <w:rPr>
          <w:sz w:val="21"/>
        </w:rPr>
        <w:t>[13] Breiman L. Random forests[J]. Machine Learning, 2001, 45(1): 5-32.</w:t>
      </w:r>
    </w:p>
    <w:p>
      <w:pPr>
        <w:spacing w:after="40"/>
        <w:ind w:firstLine="0"/>
      </w:pPr>
      <w:r>
        <w:rPr>
          <w:sz w:val="21"/>
        </w:rPr>
        <w:t>[14] Pedregosa F, Varoquaux G, Gramfort A, et al. Scikit-learn: machine learning in Python[J]. Journal of Machine Learning Research, 2011, 12: 2825-2830.</w:t>
      </w:r>
    </w:p>
    <w:p>
      <w:pPr>
        <w:spacing w:after="40"/>
        <w:ind w:firstLine="0"/>
      </w:pPr>
      <w:r>
        <w:rPr>
          <w:sz w:val="21"/>
        </w:rPr>
        <w:t>[15] McInnes L, Healy J, Melville J. UMAP: uniform manifold approximation and projection for dimension reduction[J]. arXiv:1802.03426, 2018.</w:t>
      </w:r>
    </w:p>
    <w:p>
      <w:pPr>
        <w:pStyle w:val="Heading1"/>
        <w:ind w:firstLine="0"/>
      </w:pPr>
      <w:r>
        <w:t>附录</w:t>
      </w:r>
    </w:p>
    <w:p>
      <w:pPr>
        <w:pStyle w:val="Heading2"/>
        <w:ind w:firstLine="0"/>
      </w:pPr>
      <w:r>
        <w:t>附录A: 实验环境</w:t>
      </w:r>
    </w:p>
    <w:tbl>
      <w:tblPr>
        <w:tblStyle w:val="TableGrid"/>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
              <w:rPr>
                <w:rFonts w:ascii="黑体" w:hAnsi="黑体" w:eastAsia="黑体"/>
                <w:b/>
                <w:color w:val="FFFFFF"/>
                <w:sz w:val="20"/>
              </w:rPr>
              <w:t>项目</w:t>
            </w:r>
          </w:p>
        </w:tc>
        <w:tc>
          <w:tcPr>
            <w:tcW w:type="dxa" w:w="4320"/>
            <w:shd w:fill="4472C4" w:val="clear"/>
          </w:tcPr>
          <w:p>
            <w:pPr>
              <w:jc w:val="center"/>
            </w:pPr>
            <w:r/>
            <w:r>
              <w:rPr>
                <w:rFonts w:ascii="黑体" w:hAnsi="黑体" w:eastAsia="黑体"/>
                <w:b/>
                <w:color w:val="FFFFFF"/>
                <w:sz w:val="20"/>
              </w:rPr>
              <w:t>版本/说明</w:t>
            </w:r>
          </w:p>
        </w:tc>
      </w:tr>
      <w:tr>
        <w:tc>
          <w:tcPr>
            <w:tcW w:type="dxa" w:w="4320"/>
          </w:tcPr>
          <w:p>
            <w:pPr>
              <w:jc w:val="center"/>
            </w:pPr>
            <w:r/>
            <w:r>
              <w:rPr>
                <w:sz w:val="20"/>
              </w:rPr>
              <w:t>操作系统</w:t>
            </w:r>
          </w:p>
        </w:tc>
        <w:tc>
          <w:tcPr>
            <w:tcW w:type="dxa" w:w="4320"/>
          </w:tcPr>
          <w:p>
            <w:pPr>
              <w:jc w:val="center"/>
            </w:pPr>
            <w:r/>
            <w:r>
              <w:rPr>
                <w:sz w:val="20"/>
              </w:rPr>
              <w:t>Windows 11</w:t>
            </w:r>
          </w:p>
        </w:tc>
      </w:tr>
      <w:tr>
        <w:tc>
          <w:tcPr>
            <w:tcW w:type="dxa" w:w="4320"/>
            <w:shd w:fill="D9E2F3" w:val="clear"/>
          </w:tcPr>
          <w:p>
            <w:pPr>
              <w:jc w:val="center"/>
            </w:pPr>
            <w:r/>
            <w:r>
              <w:rPr>
                <w:sz w:val="20"/>
              </w:rPr>
              <w:t>Python</w:t>
            </w:r>
          </w:p>
        </w:tc>
        <w:tc>
          <w:tcPr>
            <w:tcW w:type="dxa" w:w="4320"/>
            <w:shd w:fill="D9E2F3" w:val="clear"/>
          </w:tcPr>
          <w:p>
            <w:pPr>
              <w:jc w:val="center"/>
            </w:pPr>
            <w:r/>
            <w:r>
              <w:rPr>
                <w:sz w:val="20"/>
              </w:rPr>
              <w:t>3.10.6</w:t>
            </w:r>
          </w:p>
        </w:tc>
      </w:tr>
      <w:tr>
        <w:tc>
          <w:tcPr>
            <w:tcW w:type="dxa" w:w="4320"/>
          </w:tcPr>
          <w:p>
            <w:pPr>
              <w:jc w:val="center"/>
            </w:pPr>
            <w:r/>
            <w:r>
              <w:rPr>
                <w:sz w:val="20"/>
              </w:rPr>
              <w:t>NumPy</w:t>
            </w:r>
          </w:p>
        </w:tc>
        <w:tc>
          <w:tcPr>
            <w:tcW w:type="dxa" w:w="4320"/>
          </w:tcPr>
          <w:p>
            <w:pPr>
              <w:jc w:val="center"/>
            </w:pPr>
            <w:r/>
            <w:r>
              <w:rPr>
                <w:sz w:val="20"/>
              </w:rPr>
              <w:t>2.2.6</w:t>
            </w:r>
          </w:p>
        </w:tc>
      </w:tr>
      <w:tr>
        <w:tc>
          <w:tcPr>
            <w:tcW w:type="dxa" w:w="4320"/>
            <w:shd w:fill="D9E2F3" w:val="clear"/>
          </w:tcPr>
          <w:p>
            <w:pPr>
              <w:jc w:val="center"/>
            </w:pPr>
            <w:r/>
            <w:r>
              <w:rPr>
                <w:sz w:val="20"/>
              </w:rPr>
              <w:t>Pandas</w:t>
            </w:r>
          </w:p>
        </w:tc>
        <w:tc>
          <w:tcPr>
            <w:tcW w:type="dxa" w:w="4320"/>
            <w:shd w:fill="D9E2F3" w:val="clear"/>
          </w:tcPr>
          <w:p>
            <w:pPr>
              <w:jc w:val="center"/>
            </w:pPr>
            <w:r/>
            <w:r>
              <w:rPr>
                <w:sz w:val="20"/>
              </w:rPr>
              <w:t>2.3.3</w:t>
            </w:r>
          </w:p>
        </w:tc>
      </w:tr>
      <w:tr>
        <w:tc>
          <w:tcPr>
            <w:tcW w:type="dxa" w:w="4320"/>
          </w:tcPr>
          <w:p>
            <w:pPr>
              <w:jc w:val="center"/>
            </w:pPr>
            <w:r/>
            <w:r>
              <w:rPr>
                <w:sz w:val="20"/>
              </w:rPr>
              <w:t>Scikit-learn</w:t>
            </w:r>
          </w:p>
        </w:tc>
        <w:tc>
          <w:tcPr>
            <w:tcW w:type="dxa" w:w="4320"/>
          </w:tcPr>
          <w:p>
            <w:pPr>
              <w:jc w:val="center"/>
            </w:pPr>
            <w:r/>
            <w:r>
              <w:rPr>
                <w:sz w:val="20"/>
              </w:rPr>
              <w:t>1.7.2</w:t>
            </w:r>
          </w:p>
        </w:tc>
      </w:tr>
      <w:tr>
        <w:tc>
          <w:tcPr>
            <w:tcW w:type="dxa" w:w="4320"/>
            <w:shd w:fill="D9E2F3" w:val="clear"/>
          </w:tcPr>
          <w:p>
            <w:pPr>
              <w:jc w:val="center"/>
            </w:pPr>
            <w:r/>
            <w:r>
              <w:rPr>
                <w:sz w:val="20"/>
              </w:rPr>
              <w:t>XGBoost</w:t>
            </w:r>
          </w:p>
        </w:tc>
        <w:tc>
          <w:tcPr>
            <w:tcW w:type="dxa" w:w="4320"/>
            <w:shd w:fill="D9E2F3" w:val="clear"/>
          </w:tcPr>
          <w:p>
            <w:pPr>
              <w:jc w:val="center"/>
            </w:pPr>
            <w:r/>
            <w:r>
              <w:rPr>
                <w:sz w:val="20"/>
              </w:rPr>
              <w:t>3.2.0</w:t>
            </w:r>
          </w:p>
        </w:tc>
      </w:tr>
      <w:tr>
        <w:tc>
          <w:tcPr>
            <w:tcW w:type="dxa" w:w="4320"/>
          </w:tcPr>
          <w:p>
            <w:pPr>
              <w:jc w:val="center"/>
            </w:pPr>
            <w:r/>
            <w:r>
              <w:rPr>
                <w:sz w:val="20"/>
              </w:rPr>
              <w:t>LightGBM</w:t>
            </w:r>
          </w:p>
        </w:tc>
        <w:tc>
          <w:tcPr>
            <w:tcW w:type="dxa" w:w="4320"/>
          </w:tcPr>
          <w:p>
            <w:pPr>
              <w:jc w:val="center"/>
            </w:pPr>
            <w:r/>
            <w:r>
              <w:rPr>
                <w:sz w:val="20"/>
              </w:rPr>
              <w:t>4.6.0</w:t>
            </w:r>
          </w:p>
        </w:tc>
      </w:tr>
      <w:tr>
        <w:tc>
          <w:tcPr>
            <w:tcW w:type="dxa" w:w="4320"/>
            <w:shd w:fill="D9E2F3" w:val="clear"/>
          </w:tcPr>
          <w:p>
            <w:pPr>
              <w:jc w:val="center"/>
            </w:pPr>
            <w:r/>
            <w:r>
              <w:rPr>
                <w:sz w:val="20"/>
              </w:rPr>
              <w:t>SHAP</w:t>
            </w:r>
          </w:p>
        </w:tc>
        <w:tc>
          <w:tcPr>
            <w:tcW w:type="dxa" w:w="4320"/>
            <w:shd w:fill="D9E2F3" w:val="clear"/>
          </w:tcPr>
          <w:p>
            <w:pPr>
              <w:jc w:val="center"/>
            </w:pPr>
            <w:r/>
            <w:r>
              <w:rPr>
                <w:sz w:val="20"/>
              </w:rPr>
              <w:t>0.49.1</w:t>
            </w:r>
          </w:p>
        </w:tc>
      </w:tr>
      <w:tr>
        <w:tc>
          <w:tcPr>
            <w:tcW w:type="dxa" w:w="4320"/>
          </w:tcPr>
          <w:p>
            <w:pPr>
              <w:jc w:val="center"/>
            </w:pPr>
            <w:r/>
            <w:r>
              <w:rPr>
                <w:sz w:val="20"/>
              </w:rPr>
              <w:t>imbalanced-learn</w:t>
            </w:r>
          </w:p>
        </w:tc>
        <w:tc>
          <w:tcPr>
            <w:tcW w:type="dxa" w:w="4320"/>
          </w:tcPr>
          <w:p>
            <w:pPr>
              <w:jc w:val="center"/>
            </w:pPr>
            <w:r/>
            <w:r>
              <w:rPr>
                <w:sz w:val="20"/>
              </w:rPr>
              <w:t>0.14.2</w:t>
            </w:r>
          </w:p>
        </w:tc>
      </w:tr>
    </w:tbl>
    <w:p/>
    <w:p>
      <w:pPr>
        <w:pStyle w:val="Heading2"/>
        <w:ind w:firstLine="0"/>
      </w:pPr>
      <w:r>
        <w:t>附录B: 可复现性说明</w:t>
      </w:r>
    </w:p>
    <w:p>
      <w:r>
        <w:rPr>
          <w:b w:val="0"/>
          <w:sz w:val="24"/>
        </w:rPr>
        <w:t>所有实验均固定随机种子（random_state = 42），数据按80%/20%分层划分（stratify = y）。WOE仅在训练集上拟合，交叉验证阶段SMOTE通过Pipeline在每个训练折内执行，测试集保持原始分布。完整的Notebook和Python脚本见代码附件。运行命令为：pip install -r requirements.txt &amp;&amp; python train.py --config configs/default.yaml。</w:t>
      </w:r>
    </w:p>
    <w:p>
      <w:pPr>
        <w:pStyle w:val="Heading2"/>
        <w:ind w:firstLine="0"/>
      </w:pPr>
      <w:r>
        <w:t>附录C: 可视化图表索引</w:t>
      </w:r>
    </w:p>
    <w:p>
      <w:pPr>
        <w:pStyle w:val="ListBullet"/>
      </w:pPr>
      <w:r>
        <w:rPr>
          <w:sz w:val="24"/>
        </w:rPr>
        <w:t>target_distribution.png — 目标变量分布图（count + 饼图）</w:t>
      </w:r>
    </w:p>
    <w:p>
      <w:pPr>
        <w:pStyle w:val="ListBullet"/>
      </w:pPr>
      <w:r>
        <w:rPr>
          <w:sz w:val="24"/>
        </w:rPr>
        <w:t>numeric_distributions.png — 数值特征分布直方图与箱线图</w:t>
      </w:r>
    </w:p>
    <w:p>
      <w:pPr>
        <w:pStyle w:val="ListBullet"/>
      </w:pPr>
      <w:r>
        <w:rPr>
          <w:sz w:val="24"/>
        </w:rPr>
        <w:t>categorical_churn_rate.png — 类别特征流失率对比图（16个子图）</w:t>
      </w:r>
    </w:p>
    <w:p>
      <w:pPr>
        <w:pStyle w:val="ListBullet"/>
      </w:pPr>
      <w:r>
        <w:rPr>
          <w:sz w:val="24"/>
        </w:rPr>
        <w:t>correlation_matrix.png — 特征相关性热力图</w:t>
      </w:r>
    </w:p>
    <w:p>
      <w:pPr>
        <w:pStyle w:val="ListBullet"/>
      </w:pPr>
      <w:r>
        <w:rPr>
          <w:sz w:val="24"/>
        </w:rPr>
        <w:t>feature_importance_preliminary.png — 随机森林特征重要性预分析</w:t>
      </w:r>
    </w:p>
    <w:p>
      <w:pPr>
        <w:pStyle w:val="ListBullet"/>
      </w:pPr>
      <w:r>
        <w:rPr>
          <w:sz w:val="24"/>
        </w:rPr>
        <w:t>feature_importance.png — 最佳模型特征重要性排序</w:t>
      </w:r>
    </w:p>
    <w:p>
      <w:pPr>
        <w:pStyle w:val="ListBullet"/>
      </w:pPr>
      <w:r>
        <w:rPr>
          <w:sz w:val="24"/>
        </w:rPr>
        <w:t>smote_comparison.png — SMOTE过采样前后对比</w:t>
      </w:r>
    </w:p>
    <w:p>
      <w:pPr>
        <w:pStyle w:val="ListBullet"/>
      </w:pPr>
      <w:r>
        <w:rPr>
          <w:sz w:val="24"/>
        </w:rPr>
        <w:t>cv_results.csv — 折内SMOTE交叉验证结果</w:t>
      </w:r>
    </w:p>
    <w:p>
      <w:pPr>
        <w:pStyle w:val="ListBullet"/>
      </w:pPr>
      <w:r>
        <w:rPr>
          <w:sz w:val="24"/>
        </w:rPr>
        <w:t>ablation_results.csv/png — 消融实验结果</w:t>
      </w:r>
    </w:p>
    <w:p>
      <w:pPr>
        <w:pStyle w:val="ListBullet"/>
      </w:pPr>
      <w:r>
        <w:rPr>
          <w:sz w:val="24"/>
        </w:rPr>
        <w:t>model_comparison.png — 四种模型性能对比柱状图</w:t>
      </w:r>
    </w:p>
    <w:p>
      <w:pPr>
        <w:pStyle w:val="ListBullet"/>
      </w:pPr>
      <w:r>
        <w:rPr>
          <w:sz w:val="24"/>
        </w:rPr>
        <w:t>roc_curves.png — ROC曲线对比</w:t>
      </w:r>
    </w:p>
    <w:p>
      <w:pPr>
        <w:pStyle w:val="ListBullet"/>
      </w:pPr>
      <w:r>
        <w:rPr>
          <w:sz w:val="24"/>
        </w:rPr>
        <w:t>pr_curves.png — Precision-Recall曲线对比</w:t>
      </w:r>
    </w:p>
    <w:p>
      <w:pPr>
        <w:pStyle w:val="ListBullet"/>
      </w:pPr>
      <w:r>
        <w:rPr>
          <w:sz w:val="24"/>
        </w:rPr>
        <w:t>confusion_matrices.png — 四种模型混淆矩阵</w:t>
      </w:r>
    </w:p>
    <w:p>
      <w:pPr>
        <w:pStyle w:val="ListBullet"/>
      </w:pPr>
      <w:r>
        <w:rPr>
          <w:sz w:val="24"/>
        </w:rPr>
        <w:t>shap_summary.png — SHAP可解释性分析图</w:t>
      </w:r>
    </w:p>
    <w:p>
      <w:pPr>
        <w:pStyle w:val="ListBullet"/>
      </w:pPr>
      <w:r>
        <w:rPr>
          <w:sz w:val="24"/>
        </w:rPr>
        <w:t>elbow_method.png — 肘部法则确定最佳K值</w:t>
      </w:r>
    </w:p>
    <w:p>
      <w:pPr>
        <w:pStyle w:val="ListBullet"/>
      </w:pPr>
      <w:r>
        <w:rPr>
          <w:sz w:val="24"/>
        </w:rPr>
        <w:t>kmeans_clustering.png — K-Means客户聚类散点图 + 饼图</w:t>
      </w:r>
    </w:p>
    <w:p>
      <w:pPr>
        <w:pStyle w:val="ListBullet"/>
      </w:pPr>
      <w:r>
        <w:rPr>
          <w:sz w:val="24"/>
        </w:rPr>
        <w:t>cluster_radar.png — 聚类画像雷达图</w:t>
      </w:r>
    </w:p>
    <w:p>
      <w:pPr>
        <w:pStyle w:val="ListBullet"/>
      </w:pPr>
      <w:r>
        <w:rPr>
          <w:sz w:val="24"/>
        </w:rPr>
        <w:t>dbscan_clustering.png — DBSCAN密度聚类对比图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