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spacing w:after="120"/>
      </w:pPr>
      <w:r>
        <w:rPr>
          <w:rFonts w:ascii="Noto Sans" w:hAnsi="Noto Sans" w:eastAsia="Noto Sans KR"/>
          <w:b w:val="1"/>
          <w:color w:val="0B5CAD"/>
          <w:sz w:val="19"/>
          <w:szCs w:val="19"/>
        </w:rPr>
        <w:t>OPERATIONS REVIEW · 2026</w:t>
      </w:r>
    </w:p>
    <w:p>
      <w:pPr>
        <w:pStyle w:val="Title"/>
        <w:spacing w:after="160" w:line="640" w:lineRule="atLeast"/>
        <w:jc w:val="left"/>
      </w:pPr>
      <w:r>
        <w:rPr>
          <w:rFonts w:ascii="Noto Sans" w:hAnsi="Noto Sans" w:eastAsia="Noto Sans KR"/>
          <w:b w:val="1"/>
          <w:color w:val="10233F"/>
          <w:sz w:val="48"/>
          <w:szCs w:val="48"/>
        </w:rPr>
        <w:t>야간 출고 지연의 절반은 도크 한 곳에서 생긴다</w:t>
      </w:r>
    </w:p>
    <w:p>
      <w:pPr>
        <w:spacing w:after="360"/>
      </w:pPr>
      <w:r>
        <w:rPr>
          <w:rFonts w:ascii="Noto Sans" w:hAnsi="Noto Sans" w:eastAsia="Noto Sans KR"/>
          <w:color w:val="6B7280"/>
          <w:sz w:val="22"/>
          <w:szCs w:val="22"/>
        </w:rPr>
        <w:t>물류센터 운영위원회 보고서 · 2026년 9월 · 예시 수치</w:t>
      </w:r>
    </w:p>
    <w:p>
      <w:pPr>
        <w:keepNext w:val="1"/>
        <w:spacing w:after="120"/>
      </w:pPr>
      <w:r>
        <w:rPr>
          <w:rFonts w:ascii="Noto Sans" w:hAnsi="Noto Sans" w:eastAsia="Noto Sans KR"/>
          <w:b w:val="1"/>
          <w:color w:val="10233F"/>
          <w:sz w:val="30"/>
          <w:szCs w:val="30"/>
        </w:rPr>
        <w:t>목차</w:t>
      </w:r>
    </w:p>
    <w:p>
      <w:pPr>
        <w:tabs>
          <w:tab w:val="right" w:pos="9026" w:leader="dot"/>
        </w:tabs>
      </w:pPr>
      <w:fldSimple w:instr=" TOC \o &quot;1-3&quot; \h \z \u ">
        <w:r>
          <w:t xml:space="preserve">1. 요약</w:t>
        </w:r>
        <w:r>
          <w:tab/>
        </w:r>
        <w:r>
          <w:t>1</w:t>
        </w:r>
        <w:r>
          <w:br/>
        </w:r>
        <w:r>
          <w:t xml:space="preserve">2. 원인</w:t>
        </w:r>
        <w:r>
          <w:tab/>
        </w:r>
        <w:r>
          <w:t>1</w:t>
        </w:r>
        <w:r>
          <w:br/>
        </w:r>
        <w:r>
          <w:t xml:space="preserve">    2.1 물량 쏠림</w:t>
        </w:r>
        <w:r>
          <w:tab/>
        </w:r>
        <w:r>
          <w:t>1</w:t>
        </w:r>
        <w:r>
          <w:br/>
        </w:r>
        <w:r>
          <w:t xml:space="preserve">    2.2 셔틀 배차</w:t>
        </w:r>
        <w:r>
          <w:tab/>
        </w:r>
        <w:r>
          <w:t>1</w:t>
        </w:r>
        <w:r>
          <w:br/>
        </w:r>
        <w:r>
          <w:t xml:space="preserve">3. 허브별 실적</w:t>
        </w:r>
        <w:r>
          <w:tab/>
        </w:r>
        <w:r>
          <w:t>2</w:t>
        </w:r>
        <w:r>
          <w:br/>
        </w:r>
        <w:r>
          <w:t xml:space="preserve">4. 권고</w:t>
        </w:r>
        <w:r>
          <w:tab/>
        </w:r>
        <w:r>
          <w:t>4</w:t>
        </w:r>
      </w:fldSimple>
    </w:p>
    <w:p>
      <w:pPr>
        <w:pStyle w:val="Heading1"/>
        <w:keepNext w:val="1"/>
        <w:spacing w:before="360" w:after="120"/>
      </w:pPr>
      <w:r>
        <w:rPr>
          <w:rFonts w:ascii="Noto Sans" w:hAnsi="Noto Sans" w:eastAsia="Noto Sans KR"/>
          <w:b w:val="1"/>
          <w:color w:val="10233F"/>
          <w:sz w:val="32"/>
          <w:szCs w:val="32"/>
        </w:rPr>
        <w:t>1. 요약</w:t>
      </w:r>
    </w:p>
    <w:p>
      <w:pPr>
        <w:spacing w:after="160" w:line="360" w:lineRule="atLeast"/>
        <w:jc w:val="left"/>
      </w:pPr>
      <w:r>
        <w:rPr>
          <w:rFonts w:ascii="Noto Sans" w:hAnsi="Noto Sans" w:eastAsia="Noto Sans KR"/>
          <w:color w:val="374151"/>
          <w:sz w:val="21"/>
          <w:szCs w:val="21"/>
        </w:rPr>
        <w:t xml:space="preserve">22시 이후 3번 도크의 적재 대기가 평균 38분이다. 이 대기가 야간 지연의 </w:t>
      </w:r>
      <w:r>
        <w:rPr>
          <w:rFonts w:ascii="Noto Sans" w:hAnsi="Noto Sans" w:eastAsia="Noto Sans KR"/>
          <w:color w:val="374151"/>
          <w:sz w:val="21"/>
          <w:szCs w:val="21"/>
        </w:rPr>
        <w:t xml:space="preserve">51%</w:t>
      </w:r>
      <w:r>
        <w:rPr>
          <w:rStyle w:val="FootnoteReference"/>
          <w:vertAlign w:val="superscript"/>
        </w:rPr>
        <w:footnoteReference w:id="1"/>
      </w:r>
      <w:r>
        <w:rPr>
          <w:rFonts w:ascii="Noto Sans" w:hAnsi="Noto Sans" w:eastAsia="Noto Sans KR"/>
          <w:color w:val="374151"/>
          <w:sz w:val="21"/>
          <w:szCs w:val="21"/>
        </w:rPr>
        <w:t xml:space="preserve">를 차지한다.</w:t>
      </w:r>
    </w:p>
    <w:p>
      <w:pPr>
        <w:spacing w:after="160" w:line="360" w:lineRule="atLeast"/>
        <w:jc w:val="left"/>
      </w:pPr>
      <w:r>
        <w:rPr>
          <w:rFonts w:ascii="Noto Sans" w:hAnsi="Noto Sans" w:eastAsia="Noto Sans KR"/>
          <w:color w:val="374151"/>
          <w:sz w:val="21"/>
          <w:szCs w:val="21"/>
        </w:rPr>
        <w:t>도크를 방향별로 나누면 추가 인력 없이 대기를 없앨 수 있다.</w:t>
      </w:r>
    </w:p>
    <w:p>
      <w:pPr>
        <w:pStyle w:val="Heading1"/>
        <w:keepNext w:val="1"/>
        <w:spacing w:before="360" w:after="120"/>
      </w:pPr>
      <w:r>
        <w:rPr>
          <w:rFonts w:ascii="Noto Sans" w:hAnsi="Noto Sans" w:eastAsia="Noto Sans KR"/>
          <w:b w:val="1"/>
          <w:color w:val="10233F"/>
          <w:sz w:val="32"/>
          <w:szCs w:val="32"/>
        </w:rPr>
        <w:t>2. 원인</w:t>
      </w:r>
    </w:p>
    <w:p>
      <w:pPr>
        <w:pStyle w:val="Heading2"/>
        <w:keepNext w:val="1"/>
        <w:spacing w:before="240" w:after="80"/>
      </w:pPr>
      <w:r>
        <w:rPr>
          <w:rFonts w:ascii="Noto Sans" w:hAnsi="Noto Sans" w:eastAsia="Noto Sans KR"/>
          <w:b w:val="1"/>
          <w:color w:val="10233F"/>
          <w:sz w:val="25"/>
          <w:szCs w:val="25"/>
        </w:rPr>
        <w:t>2.1 물량 쏠림</w:t>
      </w:r>
    </w:p>
    <w:p>
      <w:pPr>
        <w:spacing w:after="160" w:line="360" w:lineRule="atLeast"/>
        <w:jc w:val="left"/>
      </w:pPr>
      <w:r>
        <w:rPr>
          <w:rFonts w:ascii="Noto Sans" w:hAnsi="Noto Sans" w:eastAsia="Noto Sans KR"/>
          <w:color w:val="374151"/>
          <w:sz w:val="21"/>
          <w:szCs w:val="21"/>
        </w:rPr>
        <w:t>1. 야간 물류는 주간 대비 처리량이 38% 많지만 인력은 22% 적다. 이 차이는 도크 대기와 재작업으로 이어지고, 결국 출고 마감 지연으로 나타난다. 이 장은 원인과 영향을 차례로 본다.</w:t>
      </w:r>
    </w:p>
    <w:p>
      <w:pPr>
        <w:spacing w:after="160" w:line="360" w:lineRule="atLeast"/>
        <w:jc w:val="left"/>
      </w:pPr>
      <w:r>
        <w:rPr>
          <w:rFonts w:ascii="Noto Sans" w:hAnsi="Noto Sans" w:eastAsia="Noto Sans KR"/>
          <w:color w:val="374151"/>
          <w:sz w:val="21"/>
          <w:szCs w:val="21"/>
        </w:rPr>
        <w:t>2. 야간 물류는 주간 대비 처리량이 38% 많지만 인력은 22% 적다. 이 차이는 도크 대기와 재작업으로 이어지고, 결국 출고 마감 지연으로 나타난다. 이 장은 원인과 영향을 차례로 본다.</w:t>
      </w:r>
    </w:p>
    <w:p>
      <w:pPr>
        <w:pStyle w:val="Heading2"/>
        <w:keepNext w:val="1"/>
        <w:spacing w:before="240" w:after="80"/>
      </w:pPr>
      <w:r>
        <w:rPr>
          <w:rFonts w:ascii="Noto Sans" w:hAnsi="Noto Sans" w:eastAsia="Noto Sans KR"/>
          <w:b w:val="1"/>
          <w:color w:val="10233F"/>
          <w:sz w:val="25"/>
          <w:szCs w:val="25"/>
        </w:rPr>
        <w:t>2.2 셔틀 배차</w:t>
      </w:r>
    </w:p>
    <w:p>
      <w:pPr>
        <w:spacing w:after="160" w:line="360" w:lineRule="atLeast"/>
        <w:jc w:val="left"/>
      </w:pPr>
      <w:r>
        <w:rPr>
          <w:rFonts w:ascii="Noto Sans" w:hAnsi="Noto Sans" w:eastAsia="Noto Sans KR"/>
          <w:color w:val="374151"/>
          <w:sz w:val="21"/>
          <w:szCs w:val="21"/>
        </w:rPr>
        <w:t>3. 야간 물류는 주간 대비 처리량이 38% 많지만 인력은 22% 적다. 이 차이는 도크 대기와 재작업으로 이어지고, 결국 출고 마감 지연으로 나타난다. 이 장은 원인과 영향을 차례로 본다.</w:t>
      </w:r>
    </w:p>
    <w:p>
      <w:pPr>
        <w:spacing w:after="160" w:line="360" w:lineRule="atLeast"/>
        <w:jc w:val="left"/>
      </w:pPr>
      <w:r>
        <w:rPr>
          <w:rFonts w:ascii="Noto Sans" w:hAnsi="Noto Sans" w:eastAsia="Noto Sans KR"/>
          <w:color w:val="374151"/>
          <w:sz w:val="21"/>
          <w:szCs w:val="21"/>
        </w:rPr>
        <w:t>4. 야간 물류는 주간 대비 처리량이 38% 많지만 인력은 22% 적다. 이 차이는 도크 대기와 재작업으로 이어지고, 결국 출고 마감 지연으로 나타난다. 이 장은 원인과 영향을 차례로 본다.</w:t>
      </w:r>
    </w:p>
    <w:p>
      <w:pPr>
        <w:pStyle w:val="Heading1"/>
        <w:keepNext w:val="1"/>
        <w:spacing w:before="360" w:after="120"/>
      </w:pPr>
      <w:r>
        <w:rPr>
          <w:rFonts w:ascii="Noto Sans" w:hAnsi="Noto Sans" w:eastAsia="Noto Sans KR"/>
          <w:b w:val="1"/>
          <w:color w:val="10233F"/>
          <w:sz w:val="32"/>
          <w:szCs w:val="32"/>
        </w:rPr>
        <w:t>3. 허브별 실적</w:t>
      </w:r>
    </w:p>
    <w:p>
      <w:pPr>
        <w:spacing w:after="160" w:line="360" w:lineRule="atLeast"/>
        <w:jc w:val="left"/>
      </w:pPr>
      <w:r>
        <w:rPr>
          <w:rFonts w:ascii="Noto Sans" w:hAnsi="Noto Sans" w:eastAsia="Noto Sans KR"/>
          <w:color w:val="374151"/>
          <w:sz w:val="21"/>
          <w:szCs w:val="21"/>
        </w:rPr>
        <w:t>아래 표는 다섯 허브의 월별 야간 처리량과 지연을 보여 준다. 표가 넓어 가로 페이지에 둔다.</w:t>
      </w:r>
    </w:p>
    <w:p>
      <w:pPr>
        <w:sectPr>
          <w:type w:val="nextPage"/>
          <w:pgSz w:w="11906" w:h="16838"/>
          <w:pgMar w:top="1440" w:right="1440" w:bottom="1440" w:left="1440" w:header="709" w:footer="709" w:gutter="0"/>
          <w:cols w:space="708"/>
          <w:docGrid w:linePitch="360"/>
        </w:sectPr>
      </w:pPr>
    </w:p>
    <w:tbl>
      <w:tblPr>
        <w:tblW w:w="0" w:type="auto"/>
        <w:tblBorders>
          <w:bottom w:val="single" w:sz="4" w:space="0" w:color="BFC5CB"/>
          <w:insideH w:val="single" w:sz="2" w:space="0" w:color="D8DCE0"/>
        </w:tblBorders>
      </w:tblPr>
      <w:tblGrid>
        <w:gridCol/>
        <w:gridCol/>
        <w:gridCol/>
        <w:gridCol/>
        <w:gridCol/>
        <w:gridCol/>
        <w:gridCol/>
        <w:gridCol/>
        <w:gridCol/>
      </w:tblGrid>
      <w:tr>
        <w:trPr>
          <w:tblHeader/>
        </w:trPr>
        <w:tc>
          <w:tcPr>
            <w:vAlign w:val="bottom"/>
          </w:tcPr>
          <w:p>
            <w:pPr>
              <w:keepNext/>
              <w:spacing w:line="260" w:lineRule="atLeast"/>
              <w:jc w:val="left"/>
            </w:pPr>
            <w:r>
              <w:rPr>
                <w:rFonts w:ascii="Noto Sans" w:hAnsi="Noto Sans" w:cs="Noto Sans" w:eastAsia="Noto Sans KR"/>
                <w:b/>
                <w:bCs/>
                <w:color w:val="10233F"/>
                <w:sz w:val="20"/>
                <w:szCs w:val="20"/>
              </w:rPr>
              <w:t>허브</w:t>
            </w:r>
          </w:p>
        </w:tc>
        <w:tc>
          <w:tcPr>
            <w:vAlign w:val="bottom"/>
          </w:tcPr>
          <w:p>
            <w:pPr>
              <w:keepNext/>
              <w:spacing w:line="260" w:lineRule="atLeast"/>
              <w:jc w:val="right"/>
            </w:pPr>
            <w:r>
              <w:rPr>
                <w:rFonts w:ascii="Noto Sans" w:hAnsi="Noto Sans" w:cs="Noto Sans" w:eastAsia="Noto Sans KR"/>
                <w:b/>
                <w:bCs/>
                <w:color w:val="10233F"/>
                <w:sz w:val="20"/>
                <w:szCs w:val="20"/>
              </w:rPr>
              <w:t>4월</w:t>
            </w:r>
          </w:p>
        </w:tc>
        <w:tc>
          <w:tcPr>
            <w:vAlign w:val="bottom"/>
          </w:tcPr>
          <w:p>
            <w:pPr>
              <w:keepNext/>
              <w:spacing w:line="260" w:lineRule="atLeast"/>
              <w:jc w:val="right"/>
            </w:pPr>
            <w:r>
              <w:rPr>
                <w:rFonts w:ascii="Noto Sans" w:hAnsi="Noto Sans" w:cs="Noto Sans" w:eastAsia="Noto Sans KR"/>
                <w:b/>
                <w:bCs/>
                <w:color w:val="10233F"/>
                <w:sz w:val="20"/>
                <w:szCs w:val="20"/>
              </w:rPr>
              <w:t>5월</w:t>
            </w:r>
          </w:p>
        </w:tc>
        <w:tc>
          <w:tcPr>
            <w:vAlign w:val="bottom"/>
          </w:tcPr>
          <w:p>
            <w:pPr>
              <w:keepNext/>
              <w:spacing w:line="260" w:lineRule="atLeast"/>
              <w:jc w:val="right"/>
            </w:pPr>
            <w:r>
              <w:rPr>
                <w:rFonts w:ascii="Noto Sans" w:hAnsi="Noto Sans" w:cs="Noto Sans" w:eastAsia="Noto Sans KR"/>
                <w:b/>
                <w:bCs/>
                <w:color w:val="10233F"/>
                <w:sz w:val="20"/>
                <w:szCs w:val="20"/>
              </w:rPr>
              <w:t>6월</w:t>
            </w:r>
          </w:p>
        </w:tc>
        <w:tc>
          <w:tcPr>
            <w:vAlign w:val="bottom"/>
          </w:tcPr>
          <w:p>
            <w:pPr>
              <w:keepNext/>
              <w:spacing w:line="260" w:lineRule="atLeast"/>
              <w:jc w:val="right"/>
            </w:pPr>
            <w:r>
              <w:rPr>
                <w:rFonts w:ascii="Noto Sans" w:hAnsi="Noto Sans" w:cs="Noto Sans" w:eastAsia="Noto Sans KR"/>
                <w:b/>
                <w:bCs/>
                <w:color w:val="10233F"/>
                <w:sz w:val="20"/>
                <w:szCs w:val="20"/>
              </w:rPr>
              <w:t>7월</w:t>
            </w:r>
          </w:p>
        </w:tc>
        <w:tc>
          <w:tcPr>
            <w:vAlign w:val="bottom"/>
          </w:tcPr>
          <w:p>
            <w:pPr>
              <w:keepNext/>
              <w:spacing w:line="260" w:lineRule="atLeast"/>
              <w:jc w:val="right"/>
            </w:pPr>
            <w:r>
              <w:rPr>
                <w:rFonts w:ascii="Noto Sans" w:hAnsi="Noto Sans" w:cs="Noto Sans" w:eastAsia="Noto Sans KR"/>
                <w:b/>
                <w:bCs/>
                <w:color w:val="10233F"/>
                <w:sz w:val="20"/>
                <w:szCs w:val="20"/>
              </w:rPr>
              <w:t>8월</w:t>
            </w:r>
          </w:p>
        </w:tc>
        <w:tc>
          <w:tcPr>
            <w:vAlign w:val="bottom"/>
          </w:tcPr>
          <w:p>
            <w:pPr>
              <w:keepNext/>
              <w:spacing w:line="260" w:lineRule="atLeast"/>
              <w:jc w:val="right"/>
            </w:pPr>
            <w:r>
              <w:rPr>
                <w:rFonts w:ascii="Noto Sans" w:hAnsi="Noto Sans" w:cs="Noto Sans" w:eastAsia="Noto Sans KR"/>
                <w:b/>
                <w:bCs/>
                <w:color w:val="10233F"/>
                <w:sz w:val="20"/>
                <w:szCs w:val="20"/>
              </w:rPr>
              <w:t>9월</w:t>
            </w:r>
          </w:p>
        </w:tc>
        <w:tc>
          <w:tcPr>
            <w:vAlign w:val="bottom"/>
          </w:tcPr>
          <w:p>
            <w:pPr>
              <w:keepNext/>
              <w:spacing w:line="260" w:lineRule="atLeast"/>
              <w:jc w:val="right"/>
            </w:pPr>
            <w:r>
              <w:rPr>
                <w:rFonts w:ascii="Noto Sans" w:hAnsi="Noto Sans" w:cs="Noto Sans" w:eastAsia="Noto Sans KR"/>
                <w:b/>
                <w:bCs/>
                <w:color w:val="10233F"/>
                <w:sz w:val="20"/>
                <w:szCs w:val="20"/>
              </w:rPr>
              <w:t>평균 지연 (분)</w:t>
            </w:r>
          </w:p>
        </w:tc>
        <w:tc>
          <w:tcPr>
            <w:vAlign w:val="bottom"/>
          </w:tcPr>
          <w:p>
            <w:pPr>
              <w:keepNext/>
              <w:spacing w:line="260" w:lineRule="atLeast"/>
              <w:jc w:val="right"/>
            </w:pPr>
            <w:r>
              <w:rPr>
                <w:rFonts w:ascii="Noto Sans" w:hAnsi="Noto Sans" w:cs="Noto Sans" w:eastAsia="Noto Sans KR"/>
                <w:b/>
                <w:bCs/>
                <w:color w:val="10233F"/>
                <w:sz w:val="20"/>
                <w:szCs w:val="20"/>
              </w:rPr>
              <w:t>정시율</w:t>
            </w:r>
          </w:p>
        </w:tc>
      </w:tr>
      <w:tr>
        <w:tc>
          <w:tcPr>
            <w:vAlign w:val="bottom"/>
          </w:tcPr>
          <w:p>
            <w:pPr>
              <w:keepNext/>
              <w:spacing w:line="260" w:lineRule="atLeast"/>
              <w:jc w:val="left"/>
            </w:pPr>
            <w:r>
              <w:rPr>
                <w:rFonts w:ascii="Noto Sans" w:hAnsi="Noto Sans" w:cs="Noto Sans" w:eastAsia="Noto Sans KR"/>
                <w:color w:val="10233F"/>
                <w:sz w:val="20"/>
                <w:szCs w:val="20"/>
              </w:rPr>
              <w:t>대전</w:t>
            </w:r>
          </w:p>
        </w:tc>
        <w:tc>
          <w:tcPr>
            <w:vAlign w:val="bottom"/>
          </w:tcPr>
          <w:p>
            <w:pPr>
              <w:keepNext/>
              <w:spacing w:line="260" w:lineRule="atLeast"/>
              <w:jc w:val="right"/>
            </w:pPr>
            <w:r>
              <w:rPr>
                <w:rFonts w:ascii="Noto Sans" w:hAnsi="Noto Sans" w:cs="Noto Sans" w:eastAsia="Noto Sans KR"/>
                <w:color w:val="10233F"/>
                <w:sz w:val="20"/>
                <w:szCs w:val="20"/>
              </w:rPr>
              <w:t>118,200</w:t>
            </w:r>
          </w:p>
        </w:tc>
        <w:tc>
          <w:tcPr>
            <w:vAlign w:val="bottom"/>
          </w:tcPr>
          <w:p>
            <w:pPr>
              <w:keepNext/>
              <w:spacing w:line="260" w:lineRule="atLeast"/>
              <w:jc w:val="right"/>
            </w:pPr>
            <w:r>
              <w:rPr>
                <w:rFonts w:ascii="Noto Sans" w:hAnsi="Noto Sans" w:cs="Noto Sans" w:eastAsia="Noto Sans KR"/>
                <w:color w:val="10233F"/>
                <w:sz w:val="20"/>
                <w:szCs w:val="20"/>
              </w:rPr>
              <w:t>121,400</w:t>
            </w:r>
          </w:p>
        </w:tc>
        <w:tc>
          <w:tcPr>
            <w:vAlign w:val="bottom"/>
          </w:tcPr>
          <w:p>
            <w:pPr>
              <w:keepNext/>
              <w:spacing w:line="260" w:lineRule="atLeast"/>
              <w:jc w:val="right"/>
            </w:pPr>
            <w:r>
              <w:rPr>
                <w:rFonts w:ascii="Noto Sans" w:hAnsi="Noto Sans" w:cs="Noto Sans" w:eastAsia="Noto Sans KR"/>
                <w:color w:val="10233F"/>
                <w:sz w:val="20"/>
                <w:szCs w:val="20"/>
              </w:rPr>
              <w:t>124,900</w:t>
            </w:r>
          </w:p>
        </w:tc>
        <w:tc>
          <w:tcPr>
            <w:vAlign w:val="bottom"/>
          </w:tcPr>
          <w:p>
            <w:pPr>
              <w:keepNext/>
              <w:spacing w:line="260" w:lineRule="atLeast"/>
              <w:jc w:val="right"/>
            </w:pPr>
            <w:r>
              <w:rPr>
                <w:rFonts w:ascii="Noto Sans" w:hAnsi="Noto Sans" w:cs="Noto Sans" w:eastAsia="Noto Sans KR"/>
                <w:color w:val="10233F"/>
                <w:sz w:val="20"/>
                <w:szCs w:val="20"/>
              </w:rPr>
              <w:t>126,300</w:t>
            </w:r>
          </w:p>
        </w:tc>
        <w:tc>
          <w:tcPr>
            <w:vAlign w:val="bottom"/>
          </w:tcPr>
          <w:p>
            <w:pPr>
              <w:keepNext/>
              <w:spacing w:line="260" w:lineRule="atLeast"/>
              <w:jc w:val="right"/>
            </w:pPr>
            <w:r>
              <w:rPr>
                <w:rFonts w:ascii="Noto Sans" w:hAnsi="Noto Sans" w:cs="Noto Sans" w:eastAsia="Noto Sans KR"/>
                <w:color w:val="10233F"/>
                <w:sz w:val="20"/>
                <w:szCs w:val="20"/>
              </w:rPr>
              <w:t>127,800</w:t>
            </w:r>
          </w:p>
        </w:tc>
        <w:tc>
          <w:tcPr>
            <w:vAlign w:val="bottom"/>
          </w:tcPr>
          <w:p>
            <w:pPr>
              <w:keepNext/>
              <w:spacing w:line="260" w:lineRule="atLeast"/>
              <w:jc w:val="right"/>
            </w:pPr>
            <w:r>
              <w:rPr>
                <w:rFonts w:ascii="Noto Sans" w:hAnsi="Noto Sans" w:cs="Noto Sans" w:eastAsia="Noto Sans KR"/>
                <w:color w:val="10233F"/>
                <w:sz w:val="20"/>
                <w:szCs w:val="20"/>
              </w:rPr>
              <w:t>128,400</w:t>
            </w:r>
          </w:p>
        </w:tc>
        <w:tc>
          <w:tcPr>
            <w:vAlign w:val="bottom"/>
          </w:tcPr>
          <w:p>
            <w:pPr>
              <w:keepNext/>
              <w:spacing w:line="260" w:lineRule="atLeast"/>
              <w:jc w:val="right"/>
            </w:pPr>
            <w:r>
              <w:rPr>
                <w:rFonts w:ascii="Noto Sans" w:hAnsi="Noto Sans" w:cs="Noto Sans" w:eastAsia="Noto Sans KR"/>
                <w:color w:val="10233F"/>
                <w:sz w:val="20"/>
                <w:szCs w:val="20"/>
              </w:rPr>
              <w:t>38</w:t>
            </w:r>
          </w:p>
        </w:tc>
        <w:tc>
          <w:tcPr>
            <w:vAlign w:val="bottom"/>
          </w:tcPr>
          <w:p>
            <w:pPr>
              <w:keepNext/>
              <w:spacing w:line="260" w:lineRule="atLeast"/>
              <w:jc w:val="right"/>
            </w:pPr>
            <w:r>
              <w:rPr>
                <w:rFonts w:ascii="Noto Sans" w:hAnsi="Noto Sans" w:cs="Noto Sans" w:eastAsia="Noto Sans KR"/>
                <w:color w:val="10233F"/>
                <w:sz w:val="20"/>
                <w:szCs w:val="20"/>
              </w:rPr>
              <w:t>91.2%</w:t>
            </w:r>
          </w:p>
        </w:tc>
      </w:tr>
      <w:tr>
        <w:tc>
          <w:tcPr>
            <w:vAlign w:val="bottom"/>
          </w:tcPr>
          <w:p>
            <w:pPr>
              <w:keepNext/>
              <w:spacing w:line="260" w:lineRule="atLeast"/>
              <w:jc w:val="left"/>
            </w:pPr>
            <w:r>
              <w:rPr>
                <w:rFonts w:ascii="Noto Sans" w:hAnsi="Noto Sans" w:cs="Noto Sans" w:eastAsia="Noto Sans KR"/>
                <w:color w:val="10233F"/>
                <w:sz w:val="20"/>
                <w:szCs w:val="20"/>
              </w:rPr>
              <w:t>광주</w:t>
            </w:r>
          </w:p>
        </w:tc>
        <w:tc>
          <w:tcPr>
            <w:vAlign w:val="bottom"/>
          </w:tcPr>
          <w:p>
            <w:pPr>
              <w:keepNext/>
              <w:spacing w:line="260" w:lineRule="atLeast"/>
              <w:jc w:val="right"/>
            </w:pPr>
            <w:r>
              <w:rPr>
                <w:rFonts w:ascii="Noto Sans" w:hAnsi="Noto Sans" w:cs="Noto Sans" w:eastAsia="Noto Sans KR"/>
                <w:color w:val="10233F"/>
                <w:sz w:val="20"/>
                <w:szCs w:val="20"/>
              </w:rPr>
              <w:t>80,100</w:t>
            </w:r>
          </w:p>
        </w:tc>
        <w:tc>
          <w:tcPr>
            <w:vAlign w:val="bottom"/>
          </w:tcPr>
          <w:p>
            <w:pPr>
              <w:keepNext/>
              <w:spacing w:line="260" w:lineRule="atLeast"/>
              <w:jc w:val="right"/>
            </w:pPr>
            <w:r>
              <w:rPr>
                <w:rFonts w:ascii="Noto Sans" w:hAnsi="Noto Sans" w:cs="Noto Sans" w:eastAsia="Noto Sans KR"/>
                <w:color w:val="10233F"/>
                <w:sz w:val="20"/>
                <w:szCs w:val="20"/>
              </w:rPr>
              <w:t>81,300</w:t>
            </w:r>
          </w:p>
        </w:tc>
        <w:tc>
          <w:tcPr>
            <w:vAlign w:val="bottom"/>
          </w:tcPr>
          <w:p>
            <w:pPr>
              <w:keepNext/>
              <w:spacing w:line="260" w:lineRule="atLeast"/>
              <w:jc w:val="right"/>
            </w:pPr>
            <w:r>
              <w:rPr>
                <w:rFonts w:ascii="Noto Sans" w:hAnsi="Noto Sans" w:cs="Noto Sans" w:eastAsia="Noto Sans KR"/>
                <w:color w:val="10233F"/>
                <w:sz w:val="20"/>
                <w:szCs w:val="20"/>
              </w:rPr>
              <w:t>82,000</w:t>
            </w:r>
          </w:p>
        </w:tc>
        <w:tc>
          <w:tcPr>
            <w:vAlign w:val="bottom"/>
          </w:tcPr>
          <w:p>
            <w:pPr>
              <w:keepNext/>
              <w:spacing w:line="260" w:lineRule="atLeast"/>
              <w:jc w:val="right"/>
            </w:pPr>
            <w:r>
              <w:rPr>
                <w:rFonts w:ascii="Noto Sans" w:hAnsi="Noto Sans" w:cs="Noto Sans" w:eastAsia="Noto Sans KR"/>
                <w:color w:val="10233F"/>
                <w:sz w:val="20"/>
                <w:szCs w:val="20"/>
              </w:rPr>
              <w:t>83,100</w:t>
            </w:r>
          </w:p>
        </w:tc>
        <w:tc>
          <w:tcPr>
            <w:vAlign w:val="bottom"/>
          </w:tcPr>
          <w:p>
            <w:pPr>
              <w:keepNext/>
              <w:spacing w:line="260" w:lineRule="atLeast"/>
              <w:jc w:val="right"/>
            </w:pPr>
            <w:r>
              <w:rPr>
                <w:rFonts w:ascii="Noto Sans" w:hAnsi="Noto Sans" w:cs="Noto Sans" w:eastAsia="Noto Sans KR"/>
                <w:color w:val="10233F"/>
                <w:sz w:val="20"/>
                <w:szCs w:val="20"/>
              </w:rPr>
              <w:t>83,900</w:t>
            </w:r>
          </w:p>
        </w:tc>
        <w:tc>
          <w:tcPr>
            <w:vAlign w:val="bottom"/>
          </w:tcPr>
          <w:p>
            <w:pPr>
              <w:keepNext/>
              <w:spacing w:line="260" w:lineRule="atLeast"/>
              <w:jc w:val="right"/>
            </w:pPr>
            <w:r>
              <w:rPr>
                <w:rFonts w:ascii="Noto Sans" w:hAnsi="Noto Sans" w:cs="Noto Sans" w:eastAsia="Noto Sans KR"/>
                <w:color w:val="10233F"/>
                <w:sz w:val="20"/>
                <w:szCs w:val="20"/>
              </w:rPr>
              <w:t>84,200</w:t>
            </w:r>
          </w:p>
        </w:tc>
        <w:tc>
          <w:tcPr>
            <w:vAlign w:val="bottom"/>
          </w:tcPr>
          <w:p>
            <w:pPr>
              <w:keepNext/>
              <w:spacing w:line="260" w:lineRule="atLeast"/>
              <w:jc w:val="right"/>
            </w:pPr>
            <w:r>
              <w:rPr>
                <w:rFonts w:ascii="Noto Sans" w:hAnsi="Noto Sans" w:cs="Noto Sans" w:eastAsia="Noto Sans KR"/>
                <w:color w:val="10233F"/>
                <w:sz w:val="20"/>
                <w:szCs w:val="20"/>
              </w:rPr>
              <w:t>12</w:t>
            </w:r>
          </w:p>
        </w:tc>
        <w:tc>
          <w:tcPr>
            <w:vAlign w:val="bottom"/>
          </w:tcPr>
          <w:p>
            <w:pPr>
              <w:keepNext/>
              <w:spacing w:line="260" w:lineRule="atLeast"/>
              <w:jc w:val="right"/>
            </w:pPr>
            <w:r>
              <w:rPr>
                <w:rFonts w:ascii="Noto Sans" w:hAnsi="Noto Sans" w:cs="Noto Sans" w:eastAsia="Noto Sans KR"/>
                <w:color w:val="10233F"/>
                <w:sz w:val="20"/>
                <w:szCs w:val="20"/>
              </w:rPr>
              <w:t>96.8%</w:t>
            </w:r>
          </w:p>
        </w:tc>
      </w:tr>
      <w:tr>
        <w:tc>
          <w:tcPr>
            <w:vAlign w:val="bottom"/>
          </w:tcPr>
          <w:p>
            <w:pPr>
              <w:keepNext/>
              <w:spacing w:line="260" w:lineRule="atLeast"/>
              <w:jc w:val="left"/>
            </w:pPr>
            <w:r>
              <w:rPr>
                <w:rFonts w:ascii="Noto Sans" w:hAnsi="Noto Sans" w:cs="Noto Sans" w:eastAsia="Noto Sans KR"/>
                <w:color w:val="10233F"/>
                <w:sz w:val="20"/>
                <w:szCs w:val="20"/>
              </w:rPr>
              <w:t>부산</w:t>
            </w:r>
          </w:p>
        </w:tc>
        <w:tc>
          <w:tcPr>
            <w:vAlign w:val="bottom"/>
          </w:tcPr>
          <w:p>
            <w:pPr>
              <w:keepNext/>
              <w:spacing w:line="260" w:lineRule="atLeast"/>
              <w:jc w:val="right"/>
            </w:pPr>
            <w:r>
              <w:rPr>
                <w:rFonts w:ascii="Noto Sans" w:hAnsi="Noto Sans" w:cs="Noto Sans" w:eastAsia="Noto Sans KR"/>
                <w:color w:val="10233F"/>
                <w:sz w:val="20"/>
                <w:szCs w:val="20"/>
              </w:rPr>
              <w:t>91,200</w:t>
            </w:r>
          </w:p>
        </w:tc>
        <w:tc>
          <w:tcPr>
            <w:vAlign w:val="bottom"/>
          </w:tcPr>
          <w:p>
            <w:pPr>
              <w:keepNext/>
              <w:spacing w:line="260" w:lineRule="atLeast"/>
              <w:jc w:val="right"/>
            </w:pPr>
            <w:r>
              <w:rPr>
                <w:rFonts w:ascii="Noto Sans" w:hAnsi="Noto Sans" w:cs="Noto Sans" w:eastAsia="Noto Sans KR"/>
                <w:color w:val="10233F"/>
                <w:sz w:val="20"/>
                <w:szCs w:val="20"/>
              </w:rPr>
              <w:t>92,800</w:t>
            </w:r>
          </w:p>
        </w:tc>
        <w:tc>
          <w:tcPr>
            <w:vAlign w:val="bottom"/>
          </w:tcPr>
          <w:p>
            <w:pPr>
              <w:keepNext/>
              <w:spacing w:line="260" w:lineRule="atLeast"/>
              <w:jc w:val="right"/>
            </w:pPr>
            <w:r>
              <w:rPr>
                <w:rFonts w:ascii="Noto Sans" w:hAnsi="Noto Sans" w:cs="Noto Sans" w:eastAsia="Noto Sans KR"/>
                <w:color w:val="10233F"/>
                <w:sz w:val="20"/>
                <w:szCs w:val="20"/>
              </w:rPr>
              <w:t>94,100</w:t>
            </w:r>
          </w:p>
        </w:tc>
        <w:tc>
          <w:tcPr>
            <w:vAlign w:val="bottom"/>
          </w:tcPr>
          <w:p>
            <w:pPr>
              <w:keepNext/>
              <w:spacing w:line="260" w:lineRule="atLeast"/>
              <w:jc w:val="right"/>
            </w:pPr>
            <w:r>
              <w:rPr>
                <w:rFonts w:ascii="Noto Sans" w:hAnsi="Noto Sans" w:cs="Noto Sans" w:eastAsia="Noto Sans KR"/>
                <w:color w:val="10233F"/>
                <w:sz w:val="20"/>
                <w:szCs w:val="20"/>
              </w:rPr>
              <w:t>95,600</w:t>
            </w:r>
          </w:p>
        </w:tc>
        <w:tc>
          <w:tcPr>
            <w:vAlign w:val="bottom"/>
          </w:tcPr>
          <w:p>
            <w:pPr>
              <w:keepNext/>
              <w:spacing w:line="260" w:lineRule="atLeast"/>
              <w:jc w:val="right"/>
            </w:pPr>
            <w:r>
              <w:rPr>
                <w:rFonts w:ascii="Noto Sans" w:hAnsi="Noto Sans" w:cs="Noto Sans" w:eastAsia="Noto Sans KR"/>
                <w:color w:val="10233F"/>
                <w:sz w:val="20"/>
                <w:szCs w:val="20"/>
              </w:rPr>
              <w:t>96,800</w:t>
            </w:r>
          </w:p>
        </w:tc>
        <w:tc>
          <w:tcPr>
            <w:vAlign w:val="bottom"/>
          </w:tcPr>
          <w:p>
            <w:pPr>
              <w:keepNext/>
              <w:spacing w:line="260" w:lineRule="atLeast"/>
              <w:jc w:val="right"/>
            </w:pPr>
            <w:r>
              <w:rPr>
                <w:rFonts w:ascii="Noto Sans" w:hAnsi="Noto Sans" w:cs="Noto Sans" w:eastAsia="Noto Sans KR"/>
                <w:color w:val="10233F"/>
                <w:sz w:val="20"/>
                <w:szCs w:val="20"/>
              </w:rPr>
              <w:t>97,300</w:t>
            </w:r>
          </w:p>
        </w:tc>
        <w:tc>
          <w:tcPr>
            <w:vAlign w:val="bottom"/>
          </w:tcPr>
          <w:p>
            <w:pPr>
              <w:keepNext/>
              <w:spacing w:line="260" w:lineRule="atLeast"/>
              <w:jc w:val="right"/>
            </w:pPr>
            <w:r>
              <w:rPr>
                <w:rFonts w:ascii="Noto Sans" w:hAnsi="Noto Sans" w:cs="Noto Sans" w:eastAsia="Noto Sans KR"/>
                <w:color w:val="10233F"/>
                <w:sz w:val="20"/>
                <w:szCs w:val="20"/>
              </w:rPr>
              <w:t>9</w:t>
            </w:r>
          </w:p>
        </w:tc>
        <w:tc>
          <w:tcPr>
            <w:vAlign w:val="bottom"/>
          </w:tcPr>
          <w:p>
            <w:pPr>
              <w:keepNext/>
              <w:spacing w:line="260" w:lineRule="atLeast"/>
              <w:jc w:val="right"/>
            </w:pPr>
            <w:r>
              <w:rPr>
                <w:rFonts w:ascii="Noto Sans" w:hAnsi="Noto Sans" w:cs="Noto Sans" w:eastAsia="Noto Sans KR"/>
                <w:color w:val="10233F"/>
                <w:sz w:val="20"/>
                <w:szCs w:val="20"/>
              </w:rPr>
              <w:t>97.4%</w:t>
            </w:r>
          </w:p>
        </w:tc>
      </w:tr>
      <w:tr>
        <w:tc>
          <w:tcPr>
            <w:vAlign w:val="bottom"/>
          </w:tcPr>
          <w:p>
            <w:pPr>
              <w:keepNext/>
              <w:spacing w:line="260" w:lineRule="atLeast"/>
              <w:jc w:val="left"/>
            </w:pPr>
            <w:r>
              <w:rPr>
                <w:rFonts w:ascii="Noto Sans" w:hAnsi="Noto Sans" w:cs="Noto Sans" w:eastAsia="Noto Sans KR"/>
                <w:color w:val="10233F"/>
                <w:sz w:val="20"/>
                <w:szCs w:val="20"/>
              </w:rPr>
              <w:t>인천</w:t>
            </w:r>
          </w:p>
        </w:tc>
        <w:tc>
          <w:tcPr>
            <w:vAlign w:val="bottom"/>
          </w:tcPr>
          <w:p>
            <w:pPr>
              <w:keepNext/>
              <w:spacing w:line="260" w:lineRule="atLeast"/>
              <w:jc w:val="right"/>
            </w:pPr>
            <w:r>
              <w:rPr>
                <w:rFonts w:ascii="Noto Sans" w:hAnsi="Noto Sans" w:cs="Noto Sans" w:eastAsia="Noto Sans KR"/>
                <w:color w:val="10233F"/>
                <w:sz w:val="20"/>
                <w:szCs w:val="20"/>
              </w:rPr>
              <w:t>136,400</w:t>
            </w:r>
          </w:p>
        </w:tc>
        <w:tc>
          <w:tcPr>
            <w:vAlign w:val="bottom"/>
          </w:tcPr>
          <w:p>
            <w:pPr>
              <w:keepNext/>
              <w:spacing w:line="260" w:lineRule="atLeast"/>
              <w:jc w:val="right"/>
            </w:pPr>
            <w:r>
              <w:rPr>
                <w:rFonts w:ascii="Noto Sans" w:hAnsi="Noto Sans" w:cs="Noto Sans" w:eastAsia="Noto Sans KR"/>
                <w:color w:val="10233F"/>
                <w:sz w:val="20"/>
                <w:szCs w:val="20"/>
              </w:rPr>
              <w:t>138,100</w:t>
            </w:r>
          </w:p>
        </w:tc>
        <w:tc>
          <w:tcPr>
            <w:vAlign w:val="bottom"/>
          </w:tcPr>
          <w:p>
            <w:pPr>
              <w:keepNext/>
              <w:spacing w:line="260" w:lineRule="atLeast"/>
              <w:jc w:val="right"/>
            </w:pPr>
            <w:r>
              <w:rPr>
                <w:rFonts w:ascii="Noto Sans" w:hAnsi="Noto Sans" w:cs="Noto Sans" w:eastAsia="Noto Sans KR"/>
                <w:color w:val="10233F"/>
                <w:sz w:val="20"/>
                <w:szCs w:val="20"/>
              </w:rPr>
              <w:t>140,200</w:t>
            </w:r>
          </w:p>
        </w:tc>
        <w:tc>
          <w:tcPr>
            <w:vAlign w:val="bottom"/>
          </w:tcPr>
          <w:p>
            <w:pPr>
              <w:keepNext/>
              <w:spacing w:line="260" w:lineRule="atLeast"/>
              <w:jc w:val="right"/>
            </w:pPr>
            <w:r>
              <w:rPr>
                <w:rFonts w:ascii="Noto Sans" w:hAnsi="Noto Sans" w:cs="Noto Sans" w:eastAsia="Noto Sans KR"/>
                <w:color w:val="10233F"/>
                <w:sz w:val="20"/>
                <w:szCs w:val="20"/>
              </w:rPr>
              <w:t>141,800</w:t>
            </w:r>
          </w:p>
        </w:tc>
        <w:tc>
          <w:tcPr>
            <w:vAlign w:val="bottom"/>
          </w:tcPr>
          <w:p>
            <w:pPr>
              <w:keepNext/>
              <w:spacing w:line="260" w:lineRule="atLeast"/>
              <w:jc w:val="right"/>
            </w:pPr>
            <w:r>
              <w:rPr>
                <w:rFonts w:ascii="Noto Sans" w:hAnsi="Noto Sans" w:cs="Noto Sans" w:eastAsia="Noto Sans KR"/>
                <w:color w:val="10233F"/>
                <w:sz w:val="20"/>
                <w:szCs w:val="20"/>
              </w:rPr>
              <w:t>143,100</w:t>
            </w:r>
          </w:p>
        </w:tc>
        <w:tc>
          <w:tcPr>
            <w:vAlign w:val="bottom"/>
          </w:tcPr>
          <w:p>
            <w:pPr>
              <w:keepNext/>
              <w:spacing w:line="260" w:lineRule="atLeast"/>
              <w:jc w:val="right"/>
            </w:pPr>
            <w:r>
              <w:rPr>
                <w:rFonts w:ascii="Noto Sans" w:hAnsi="Noto Sans" w:cs="Noto Sans" w:eastAsia="Noto Sans KR"/>
                <w:color w:val="10233F"/>
                <w:sz w:val="20"/>
                <w:szCs w:val="20"/>
              </w:rPr>
              <w:t>143,900</w:t>
            </w:r>
          </w:p>
        </w:tc>
        <w:tc>
          <w:tcPr>
            <w:vAlign w:val="bottom"/>
          </w:tcPr>
          <w:p>
            <w:pPr>
              <w:keepNext/>
              <w:spacing w:line="260" w:lineRule="atLeast"/>
              <w:jc w:val="right"/>
            </w:pPr>
            <w:r>
              <w:rPr>
                <w:rFonts w:ascii="Noto Sans" w:hAnsi="Noto Sans" w:cs="Noto Sans" w:eastAsia="Noto Sans KR"/>
                <w:color w:val="10233F"/>
                <w:sz w:val="20"/>
                <w:szCs w:val="20"/>
              </w:rPr>
              <w:t>21</w:t>
            </w:r>
          </w:p>
        </w:tc>
        <w:tc>
          <w:tcPr>
            <w:vAlign w:val="bottom"/>
          </w:tcPr>
          <w:p>
            <w:pPr>
              <w:keepNext/>
              <w:spacing w:line="260" w:lineRule="atLeast"/>
              <w:jc w:val="right"/>
            </w:pPr>
            <w:r>
              <w:rPr>
                <w:rFonts w:ascii="Noto Sans" w:hAnsi="Noto Sans" w:cs="Noto Sans" w:eastAsia="Noto Sans KR"/>
                <w:color w:val="10233F"/>
                <w:sz w:val="20"/>
                <w:szCs w:val="20"/>
              </w:rPr>
              <w:t>94.1%</w:t>
            </w:r>
          </w:p>
        </w:tc>
      </w:tr>
      <w:tr>
        <w:tc>
          <w:tcPr>
            <w:vAlign w:val="bottom"/>
          </w:tcPr>
          <w:p>
            <w:pPr>
              <w:keepNext/>
              <w:spacing w:line="260" w:lineRule="atLeast"/>
              <w:jc w:val="left"/>
            </w:pPr>
            <w:r>
              <w:rPr>
                <w:rFonts w:ascii="Noto Sans" w:hAnsi="Noto Sans" w:cs="Noto Sans" w:eastAsia="Noto Sans KR"/>
                <w:color w:val="10233F"/>
                <w:sz w:val="20"/>
                <w:szCs w:val="20"/>
              </w:rPr>
              <w:t>대구</w:t>
            </w:r>
          </w:p>
        </w:tc>
        <w:tc>
          <w:tcPr>
            <w:vAlign w:val="bottom"/>
          </w:tcPr>
          <w:p>
            <w:pPr>
              <w:keepNext/>
              <w:spacing w:line="260" w:lineRule="atLeast"/>
              <w:jc w:val="right"/>
            </w:pPr>
            <w:r>
              <w:rPr>
                <w:rFonts w:ascii="Noto Sans" w:hAnsi="Noto Sans" w:cs="Noto Sans" w:eastAsia="Noto Sans KR"/>
                <w:color w:val="10233F"/>
                <w:sz w:val="20"/>
                <w:szCs w:val="20"/>
              </w:rPr>
              <w:t>71,800</w:t>
            </w:r>
          </w:p>
        </w:tc>
        <w:tc>
          <w:tcPr>
            <w:vAlign w:val="bottom"/>
          </w:tcPr>
          <w:p>
            <w:pPr>
              <w:keepNext/>
              <w:spacing w:line="260" w:lineRule="atLeast"/>
              <w:jc w:val="right"/>
            </w:pPr>
            <w:r>
              <w:rPr>
                <w:rFonts w:ascii="Noto Sans" w:hAnsi="Noto Sans" w:cs="Noto Sans" w:eastAsia="Noto Sans KR"/>
                <w:color w:val="10233F"/>
                <w:sz w:val="20"/>
                <w:szCs w:val="20"/>
              </w:rPr>
              <w:t>72,900</w:t>
            </w:r>
          </w:p>
        </w:tc>
        <w:tc>
          <w:tcPr>
            <w:vAlign w:val="bottom"/>
          </w:tcPr>
          <w:p>
            <w:pPr>
              <w:keepNext/>
              <w:spacing w:line="260" w:lineRule="atLeast"/>
              <w:jc w:val="right"/>
            </w:pPr>
            <w:r>
              <w:rPr>
                <w:rFonts w:ascii="Noto Sans" w:hAnsi="Noto Sans" w:cs="Noto Sans" w:eastAsia="Noto Sans KR"/>
                <w:color w:val="10233F"/>
                <w:sz w:val="20"/>
                <w:szCs w:val="20"/>
              </w:rPr>
              <w:t>74,100</w:t>
            </w:r>
          </w:p>
        </w:tc>
        <w:tc>
          <w:tcPr>
            <w:vAlign w:val="bottom"/>
          </w:tcPr>
          <w:p>
            <w:pPr>
              <w:keepNext/>
              <w:spacing w:line="260" w:lineRule="atLeast"/>
              <w:jc w:val="right"/>
            </w:pPr>
            <w:r>
              <w:rPr>
                <w:rFonts w:ascii="Noto Sans" w:hAnsi="Noto Sans" w:cs="Noto Sans" w:eastAsia="Noto Sans KR"/>
                <w:color w:val="10233F"/>
                <w:sz w:val="20"/>
                <w:szCs w:val="20"/>
              </w:rPr>
              <w:t>74,900</w:t>
            </w:r>
          </w:p>
        </w:tc>
        <w:tc>
          <w:tcPr>
            <w:vAlign w:val="bottom"/>
          </w:tcPr>
          <w:p>
            <w:pPr>
              <w:keepNext/>
              <w:spacing w:line="260" w:lineRule="atLeast"/>
              <w:jc w:val="right"/>
            </w:pPr>
            <w:r>
              <w:rPr>
                <w:rFonts w:ascii="Noto Sans" w:hAnsi="Noto Sans" w:cs="Noto Sans" w:eastAsia="Noto Sans KR"/>
                <w:color w:val="10233F"/>
                <w:sz w:val="20"/>
                <w:szCs w:val="20"/>
              </w:rPr>
              <w:t>75,600</w:t>
            </w:r>
          </w:p>
        </w:tc>
        <w:tc>
          <w:tcPr>
            <w:vAlign w:val="bottom"/>
          </w:tcPr>
          <w:p>
            <w:pPr>
              <w:keepNext/>
              <w:spacing w:line="260" w:lineRule="atLeast"/>
              <w:jc w:val="right"/>
            </w:pPr>
            <w:r>
              <w:rPr>
                <w:rFonts w:ascii="Noto Sans" w:hAnsi="Noto Sans" w:cs="Noto Sans" w:eastAsia="Noto Sans KR"/>
                <w:color w:val="10233F"/>
                <w:sz w:val="20"/>
                <w:szCs w:val="20"/>
              </w:rPr>
              <w:t>76,100</w:t>
            </w:r>
          </w:p>
        </w:tc>
        <w:tc>
          <w:tcPr>
            <w:vAlign w:val="bottom"/>
          </w:tcPr>
          <w:p>
            <w:pPr>
              <w:keepNext/>
              <w:spacing w:line="260" w:lineRule="atLeast"/>
              <w:jc w:val="right"/>
            </w:pPr>
            <w:r>
              <w:rPr>
                <w:rFonts w:ascii="Noto Sans" w:hAnsi="Noto Sans" w:cs="Noto Sans" w:eastAsia="Noto Sans KR"/>
                <w:color w:val="10233F"/>
                <w:sz w:val="20"/>
                <w:szCs w:val="20"/>
              </w:rPr>
              <w:t>7</w:t>
            </w:r>
          </w:p>
        </w:tc>
        <w:tc>
          <w:tcPr>
            <w:vAlign w:val="bottom"/>
          </w:tcPr>
          <w:p>
            <w:pPr>
              <w:keepNext/>
              <w:spacing w:line="260" w:lineRule="atLeast"/>
              <w:jc w:val="right"/>
            </w:pPr>
            <w:r>
              <w:rPr>
                <w:rFonts w:ascii="Noto Sans" w:hAnsi="Noto Sans" w:cs="Noto Sans" w:eastAsia="Noto Sans KR"/>
                <w:color w:val="10233F"/>
                <w:sz w:val="20"/>
                <w:szCs w:val="20"/>
              </w:rPr>
              <w:t>98.1%</w:t>
            </w:r>
          </w:p>
        </w:tc>
      </w:tr>
    </w:tbl>
    <w:p>
      <w:pPr>
        <w:spacing w:before="80" w:after="280"/>
      </w:pPr>
      <w:r>
        <w:rPr>
          <w:rFonts w:ascii="Noto Sans" w:hAnsi="Noto Sans" w:eastAsia="Noto Sans KR"/>
          <w:color w:val="6B7280"/>
          <w:sz w:val="18"/>
          <w:szCs w:val="18"/>
        </w:rPr>
        <w:t>표 1. 허브별 야간 처리량 (건)과 지연. 출처: 물류센터 WMS 2026년 4–9월 (예시 수치)</w:t>
      </w:r>
    </w:p>
    <w:p>
      <w:pPr>
        <w:sectPr>
          <w:type w:val="nextPage"/>
          <w:pgSz w:w="16838" w:h="11906" w:orient="landscape"/>
          <w:pgMar w:top="1440" w:right="1440" w:bottom="1440" w:left="1440" w:header="709" w:footer="709" w:gutter="0"/>
          <w:cols w:space="708"/>
          <w:docGrid w:linePitch="360"/>
        </w:sectPr>
      </w:pPr>
    </w:p>
    <w:p>
      <w:pPr>
        <w:pStyle w:val="Heading1"/>
        <w:keepNext w:val="1"/>
        <w:spacing w:before="360" w:after="120"/>
      </w:pPr>
      <w:r>
        <w:rPr>
          <w:rFonts w:ascii="Noto Sans" w:hAnsi="Noto Sans" w:eastAsia="Noto Sans KR"/>
          <w:b w:val="1"/>
          <w:color w:val="10233F"/>
          <w:sz w:val="32"/>
          <w:szCs w:val="32"/>
        </w:rPr>
        <w:t>4. 권고</w:t>
      </w:r>
    </w:p>
    <w:p>
      <w:pPr>
        <w:spacing w:after="160" w:line="360" w:lineRule="atLeast"/>
        <w:jc w:val="left"/>
      </w:pPr>
      <w:r>
        <w:rPr>
          <w:rFonts w:ascii="Noto Sans" w:hAnsi="Noto Sans" w:eastAsia="Noto Sans KR"/>
          <w:color w:val="374151"/>
          <w:sz w:val="21"/>
          <w:szCs w:val="21"/>
        </w:rPr>
        <w:t>10월 첫 주부터 3번 도크를 수도권과 영남 방향으로 나누어 시범 운영한다.</w:t>
      </w:r>
    </w:p>
    <w:p>
      <w:pPr>
        <w:spacing w:after="160" w:line="360" w:lineRule="atLeast"/>
        <w:jc w:val="left"/>
      </w:pPr>
      <w:r>
        <w:rPr>
          <w:rFonts w:ascii="Noto Sans" w:hAnsi="Noto Sans" w:eastAsia="Noto Sans KR"/>
          <w:color w:val="374151"/>
          <w:sz w:val="21"/>
          <w:szCs w:val="21"/>
        </w:rPr>
        <w:t>효과는 3주 뒤 대기 시간과 정시율로 측정한다.</w:t>
      </w:r>
    </w:p>
    <w:sectPr>
      <w:footerReference w:type="default" r:id="rId5"/>
      <w:headerReference w:type="default" r:id="rId4"/>
      <w:pgSz w:w="11906" w:h="16838"/>
      <w:pgMar w:top="1440" w:right="1440" w:bottom="1440" w:left="1440" w:header="709" w:footer="709" w:gutter="0"/>
      <w:cols w:space="708"/>
      <w:docGrid w:linePitch="360"/>
    </w:sectPr>
  </w:body>
</w:document>
</file>

<file path=word/footer1.xml><?xml version="1.0" encoding="utf-8"?>
<w:ftr xmlns:w="http://schemas.openxmlformats.org/wordprocessingml/2006/main" xmlns:r="http://schemas.openxmlformats.org/officeDocument/2006/relationships">
  <w:p>
    <w:pPr>
      <w:jc w:val="center"/>
    </w:pPr>
    <w:fldSimple w:instr=" PAGE ">
      <w:r>
        <w:t>1</w:t>
      </w:r>
    </w:fldSimple>
  </w:p>
</w:ftr>
</file>

<file path=word/footnotes.xml><?xml version="1.0" encoding="utf-8"?>
<w:footnotes xmlns:w="http://schemas.openxmlformats.org/wordprocessingml/2006/main" xmlns:r="http://schemas.openxmlformats.org/officeDocument/2006/relationships">
  <w:footnote w:type="separator" w:id="-1">
    <w:p>
      <w:pPr>
        <w:spacing w:after="0" w:line="240" w:lineRule="auto"/>
      </w:pPr>
      <w:r>
        <w:separator/>
      </w:r>
    </w:p>
  </w:footnote>
  <w:footnote w:type="continuationSeparator" w:id="0">
    <w:p>
      <w:pPr>
        <w:spacing w:after="0" w:line="240" w:lineRule="auto"/>
      </w:pPr>
      <w:r>
        <w:continuationSeparator/>
      </w:r>
    </w:p>
  </w:footnote>
  <w:footnote w:id="1">
    <w:p>
      <w:pPr>
        <w:pStyle w:val="FootnoteText"/>
      </w:pPr>
      <w:r>
        <w:rPr>
          <w:rStyle w:val="FootnoteReference"/>
          <w:vertAlign w:val="superscript"/>
        </w:rPr>
        <w:footnoteRef/>
      </w:r>
      <w:r>
        <w:t xml:space="preserve"> 2026년 7–9월 야간 지연 건수 기준 (WMS 로그, 예시)</w:t>
      </w:r>
    </w:p>
  </w:footnote>
</w:footnotes>
</file>

<file path=word/header1.xml><?xml version="1.0" encoding="utf-8"?>
<w:hdr xmlns:w="http://schemas.openxmlformats.org/wordprocessingml/2006/main" xmlns:r="http://schemas.openxmlformats.org/officeDocument/2006/relationships">
  <w:p>
    <w:r>
      <w:rPr>
        <w:rFonts w:ascii="Noto Sans" w:hAnsi="Noto Sans" w:eastAsia="Noto Sans KR"/>
        <w:color w:val="6B7280"/>
        <w:sz w:val="17"/>
        <w:szCs w:val="17"/>
      </w:rPr>
      <w:t>야간 물류 운영 보고서</w:t>
    </w:r>
  </w:p>
</w:hdr>
</file>

<file path=word/settings.xml><?xml version="1.0" encoding="utf-8"?>
<w:settings xmlns:w="http://schemas.openxmlformats.org/wordprocessingml/2006/main">
  <w:updateFields w:val="true"/>
</w:settings>
</file>

<file path=word/styles.xml><?xml version="1.0" encoding="utf-8"?>
<w:styles xmlns:w="http://schemas.openxmlformats.org/wordprocessingml/2006/main">
  <w:docDefaults>
    <w:rPrDefault>
      <w:rPr>
        <w:rFonts w:ascii="Calibri" w:hAnsi="Calibri" w:eastAsia="Malgun Gothic" w:cs="Arial"/>
        <w:sz w:val="22"/>
        <w:szCs w:val="22"/>
      </w:rPr>
    </w:rPrDefault>
    <w:pPrDefault>
      <w:pPr>
        <w:wordWrap w:val="1"/>
        <w:autoSpaceDE w:val="0"/>
        <w:autoSpaceDN w:val="0"/>
        <w:spacing w:after="160" w:line="259" w:lineRule="auto"/>
      </w:pPr>
    </w:pPrDefault>
  </w:docDefaults>
  <w:style w:type="paragraph" w:default="1" w:styleId="Normal">
    <w:name w:val="Normal"/>
    <w:qFormat/>
  </w:style>
  <w:style w:type="paragraph" w:styleId="Title">
    <w:name w:val="Title"/>
    <w:basedOn w:val="Normal"/>
    <w:next w:val="Normal"/>
    <w:qFormat/>
    <w:pPr>
      <w:spacing w:after="120"/>
      <w:contextualSpacing/>
    </w:pPr>
    <w:rPr>
      <w:b/>
      <w:sz w:val="56"/>
      <w:szCs w:val="56"/>
    </w:rPr>
  </w:style>
  <w:style w:type="paragraph" w:styleId="Subtitle">
    <w:name w:val="Subtitle"/>
    <w:basedOn w:val="Normal"/>
    <w:next w:val="Normal"/>
    <w:qFormat/>
    <w:pPr>
      <w:spacing w:after="240"/>
    </w:pPr>
    <w:rPr>
      <w:color w:val="595959"/>
      <w:sz w:val="28"/>
      <w:szCs w:val="28"/>
    </w:rPr>
  </w:style>
  <w:style w:type="paragraph" w:styleId="Heading1">
    <w:name w:val="heading 1"/>
    <w:basedOn w:val="Normal"/>
    <w:next w:val="Normal"/>
    <w:qFormat/>
    <w:pPr>
      <w:keepNext/>
      <w:keepLines/>
      <w:spacing w:before="240" w:after="120"/>
      <w:outlineLvl w:val="0"/>
    </w:pPr>
    <w:rPr>
      <w:b/>
      <w:sz w:val="32"/>
      <w:szCs w:val="32"/>
    </w:rPr>
  </w:style>
  <w:style w:type="paragraph" w:styleId="Heading2">
    <w:name w:val="heading 2"/>
    <w:basedOn w:val="Normal"/>
    <w:next w:val="Normal"/>
    <w:qFormat/>
    <w:pPr>
      <w:keepNext/>
      <w:keepLines/>
      <w:spacing w:before="200" w:after="120"/>
      <w:outlineLvl w:val="1"/>
    </w:pPr>
    <w:rPr>
      <w:b/>
      <w:sz w:val="28"/>
      <w:szCs w:val="28"/>
    </w:rPr>
  </w:style>
  <w:style w:type="paragraph" w:styleId="Heading3">
    <w:name w:val="heading 3"/>
    <w:basedOn w:val="Normal"/>
    <w:next w:val="Normal"/>
    <w:qFormat/>
    <w:pPr>
      <w:keepNext/>
      <w:keepLines/>
      <w:spacing w:before="160" w:after="120"/>
      <w:outlineLvl w:val="2"/>
    </w:pPr>
    <w:rPr>
      <w:b/>
      <w:sz w:val="26"/>
      <w:szCs w:val="26"/>
    </w:rPr>
  </w:style>
  <w:style w:type="paragraph" w:styleId="Heading4">
    <w:name w:val="heading 4"/>
    <w:basedOn w:val="Normal"/>
    <w:next w:val="Normal"/>
    <w:qFormat/>
    <w:pPr>
      <w:keepNext/>
      <w:keepLines/>
      <w:spacing w:before="160" w:after="120"/>
      <w:outlineLvl w:val="3"/>
    </w:pPr>
    <w:rPr>
      <w:b/>
      <w:sz w:val="24"/>
      <w:szCs w:val="24"/>
    </w:rPr>
  </w:style>
  <w:style w:type="paragraph" w:styleId="ListParagraph">
    <w:name w:val="List Paragraph"/>
    <w:basedOn w:val="Normal"/>
    <w:qFormat/>
    <w:pPr>
      <w:ind w:left="720"/>
      <w:contextualSpacing/>
    </w:pPr>
  </w:style>
  <w:style w:type="paragraph" w:styleId="Quote">
    <w:name w:val="Quote"/>
    <w:basedOn w:val="Normal"/>
    <w:next w:val="Normal"/>
    <w:qFormat/>
    <w:pPr>
      <w:ind w:left="720" w:right="720"/>
    </w:pPr>
    <w:rPr>
      <w:i/>
      <w:color w:val="404040"/>
    </w:rPr>
  </w:style>
  <w:style w:type="paragraph" w:styleId="Caption">
    <w:name w:val="caption"/>
    <w:basedOn w:val="Normal"/>
    <w:next w:val="Normal"/>
    <w:qFormat/>
    <w:pPr>
      <w:spacing w:after="200"/>
    </w:pPr>
    <w:rPr>
      <w:color w:val="595959"/>
      <w:sz w:val="18"/>
      <w:szCs w:val="18"/>
    </w:rPr>
  </w:style>
  <w:style w:type="table" w:default="1" w:styleId="TableNormal">
    <w:name w:val="Normal Table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pPr>
      <w:spacing w:after="0" w:line="240" w:lineRule="auto"/>
    </w:pPr>
    <w:tblPr>
      <w:tblBorders>
        <w:top w:val="single" w:sz="4" w:space="0" w:color="BFBFBF"/>
        <w:left w:val="single" w:sz="4" w:space="0" w:color="BFBFBF"/>
        <w:bottom w:val="single" w:sz="4" w:space="0" w:color="BFBFBF"/>
        <w:right w:val="single" w:sz="4" w:space="0" w:color="BFBFBF"/>
        <w:insideH w:val="single" w:sz="4" w:space="0" w:color="BFBFBF"/>
        <w:insideV w:val="single" w:sz="4" w:space="0" w:color="BFBFBF"/>
      </w:tblBorders>
    </w:tblPr>
  </w:style>
</w:styles>
</file>

<file path=word/_rels/document.xml.rels><?xml version="1.0" encoding="UTF-8" standalone="yes"?>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otnotes" Target="footnotes.xml"/><Relationship Id="rId3" Type="http://schemas.openxmlformats.org/officeDocument/2006/relationships/settings" Target="settings.xml"/><Relationship Id="rId4" Type="http://schemas.openxmlformats.org/officeDocument/2006/relationships/header" Target="header1.xml"/><Relationship Id="rId5" Type="http://schemas.openxmlformats.org/officeDocument/2006/relationships/footer" Target="footer1.xml"/></Relationship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night-logistics-report</dc:title>
  <dc:creator>Mixdog</dc:creator>
  <cp:lastModifiedBy>Mixdog</cp:lastModifiedBy>
  <dcterms:created xsi:type="dcterms:W3CDTF">2026-09-23T08:32:46Z</dcterms:created>
  <dcterms:modified xsi:type="dcterms:W3CDTF">2026-09-23T08:32:46Z</dcterms:modified>
</cp:coreProperties>
</file>