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keepNext w:val="1"/>
        <w:widowControl w:val="1"/>
        <w:spacing w:before="0" w:after="120"/>
        <w:jc w:val="left"/>
      </w:pPr>
      <w:r>
        <w:rPr>
          <w:rFonts w:ascii="Arial" w:hAnsi="Arial" w:eastAsia="Malgun Gothic"/>
          <w:b w:val="1"/>
          <w:color w:val="1F7A55"/>
          <w:sz w:val="17"/>
          <w:szCs w:val="17"/>
        </w:rPr>
        <w:t>결정 요청</w:t>
      </w:r>
    </w:p>
    <w:p>
      <w:pPr>
        <w:pStyle w:val="Title"/>
        <w:keepNext w:val="1"/>
        <w:widowControl w:val="1"/>
        <w:spacing w:before="0" w:after="240"/>
        <w:jc w:val="left"/>
      </w:pPr>
      <w:r>
        <w:rPr>
          <w:rFonts w:ascii="Cambria" w:hAnsi="Cambria" w:eastAsia="Malgun Gothic"/>
          <w:b w:val="1"/>
          <w:color w:val="17221C"/>
          <w:sz w:val="48"/>
          <w:szCs w:val="48"/>
        </w:rPr>
        <w:t>야간 출고 지연을 없애는 도크 분리안</w:t>
      </w:r>
    </w:p>
    <w:p>
      <w:pPr>
        <w:pStyle w:val="Normal"/>
        <w:keepNext w:val="0"/>
        <w:widowControl w:val="1"/>
        <w:spacing w:before="0" w:after="240" w:line="284" w:lineRule="atLeast"/>
        <w:jc w:val="left"/>
      </w:pPr>
      <w:r>
        <w:rPr>
          <w:rFonts w:ascii="Calibri" w:hAnsi="Calibri" w:eastAsia="Malgun Gothic"/>
          <w:color w:val="5A635F"/>
          <w:sz w:val="21"/>
          <w:szCs w:val="21"/>
        </w:rPr>
        <w:t>물류센터 운영위원회 결정 요청 · 2026년 9월</w:t>
      </w:r>
    </w:p>
    <w:p>
      <w:pPr>
        <w:pStyle w:val="Normal"/>
        <w:keepNext w:val="1"/>
        <w:widowControl w:val="1"/>
        <w:spacing w:before="80" w:after="360" w:line="311" w:lineRule="atLeast"/>
        <w:jc w:val="left"/>
      </w:pPr>
      <w:r>
        <w:rPr>
          <w:rFonts w:ascii="Cambria" w:hAnsi="Cambria" w:eastAsia="Malgun Gothic"/>
          <w:b w:val="1"/>
          <w:color w:val="17221C"/>
          <w:sz w:val="23"/>
          <w:szCs w:val="23"/>
        </w:rPr>
        <w:t>22시 이후 3번 도크 적재 대기가 평균 38분이다. 도크를 방향별로 나누면 대기가 사라지고 추가 인력 없이 출고 마감을 40분 앞당길 수 있다.</w:t>
      </w:r>
    </w:p>
    <w:tbl>
      <w:tblPr>
        <w:tblStyle w:val="TableGrid"/>
        <w:tblW w:w="9728" w:type="dxa"/>
        <w:jc w:val="center"/>
        <w:tblBorders>
          <w:top w:val="single" w:sz="4" w:space="0" w:color="DDE4DF"/>
          <w:left w:val="single" w:sz="4" w:space="0" w:color="DDE4DF"/>
          <w:bottom w:val="single" w:sz="4" w:space="0" w:color="DDE4DF"/>
          <w:right w:val="single" w:sz="4" w:space="0" w:color="DDE4DF"/>
          <w:insideH w:val="single" w:sz="4" w:space="0" w:color="DDE4DF"/>
          <w:insideV w:val="single" w:sz="4" w:space="0" w:color="DDE4DF"/>
        </w:tblBorders>
      </w:tblPr>
      <w:tblGrid>
        <w:gridCol w:w="3040"/>
        <w:gridCol w:w="3344"/>
        <w:gridCol w:w="3344"/>
      </w:tblGrid>
      <w:tr>
        <w:trPr>
          <w:tblHeader/>
        </w:trPr>
        <w:tc>
          <w:tcPr>
            <w:tcW w:w="3040" w:type="dxa"/>
            <w:shd w:val="clear" w:color="auto" w:fill="132C24"/>
            <w:vAlign w:val="center"/>
          </w:tcPr>
          <w:p>
            <w:pPr>
              <w:pStyle w:val="Normal"/>
              <w:spacing w:after="0" w:line="221" w:lineRule="atLeast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평균 적재 대기</w:t>
            </w:r>
          </w:p>
        </w:tc>
        <w:tc>
          <w:tcPr>
            <w:tcW w:w="3344" w:type="dxa"/>
            <w:shd w:val="clear" w:color="auto" w:fill="132C24"/>
            <w:vAlign w:val="center"/>
          </w:tcPr>
          <w:p>
            <w:pPr>
              <w:pStyle w:val="Normal"/>
              <w:spacing w:after="0" w:line="221" w:lineRule="atLeast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분리 후 시뮬레이션</w:t>
            </w:r>
          </w:p>
        </w:tc>
        <w:tc>
          <w:tcPr>
            <w:tcW w:w="3344" w:type="dxa"/>
            <w:shd w:val="clear" w:color="auto" w:fill="132C24"/>
            <w:vAlign w:val="center"/>
          </w:tcPr>
          <w:p>
            <w:pPr>
              <w:pStyle w:val="Normal"/>
              <w:spacing w:after="0" w:line="221" w:lineRule="atLeast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마감 단축</w:t>
            </w:r>
          </w:p>
        </w:tc>
      </w:tr>
      <w:tr>
        <w:tc>
          <w:tcPr>
            <w:tcW w:w="3040" w:type="dxa"/>
            <w:shd w:val="clear" w:color="auto" w:fill="1F7A55"/>
            <w:vAlign w:val="center"/>
          </w:tcPr>
          <w:p>
            <w:pPr>
              <w:pStyle w:val="Normal"/>
              <w:spacing w:after="0" w:line="390" w:lineRule="atLeast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</w:rPr>
              <w:t>38분</w:t>
            </w:r>
          </w:p>
        </w:tc>
        <w:tc>
          <w:tcPr>
            <w:tcW w:w="3344" w:type="dxa"/>
            <w:shd w:val="clear" w:color="auto" w:fill="E8F1EC"/>
            <w:vAlign w:val="center"/>
          </w:tcPr>
          <w:p>
            <w:pPr>
              <w:pStyle w:val="Normal"/>
              <w:spacing w:after="0" w:line="390" w:lineRule="atLeast"/>
              <w:jc w:val="center"/>
            </w:pPr>
            <w:r>
              <w:rPr>
                <w:rFonts w:ascii="Arial" w:hAnsi="Arial" w:cs="Arial"/>
                <w:b/>
                <w:color w:val="17221C"/>
                <w:sz w:val="30"/>
                <w:szCs w:val="30"/>
              </w:rPr>
              <w:t>0분</w:t>
            </w:r>
          </w:p>
        </w:tc>
        <w:tc>
          <w:tcPr>
            <w:tcW w:w="3344" w:type="dxa"/>
            <w:shd w:val="clear" w:color="auto" w:fill="E8F1EC"/>
            <w:vAlign w:val="center"/>
          </w:tcPr>
          <w:p>
            <w:pPr>
              <w:pStyle w:val="Normal"/>
              <w:spacing w:after="0" w:line="390" w:lineRule="atLeast"/>
              <w:jc w:val="center"/>
            </w:pPr>
            <w:r>
              <w:rPr>
                <w:rFonts w:ascii="Arial" w:hAnsi="Arial" w:cs="Arial"/>
                <w:b/>
                <w:color w:val="17221C"/>
                <w:sz w:val="30"/>
                <w:szCs w:val="30"/>
              </w:rPr>
              <w:t>40분</w:t>
            </w:r>
          </w:p>
        </w:tc>
      </w:tr>
    </w:tbl>
    <w:p>
      <w:pPr>
        <w:pStyle w:val="Normal"/>
        <w:spacing w:before="40" w:after="40" w:line="40" w:lineRule="atLeast"/>
      </w:pPr>
      <w:r>
        <w:rPr>
          <w:rFonts w:ascii="Calibri" w:hAnsi="Calibri"/>
          <w:color w:val="F8F9F6"/>
          <w:sz w:val="2"/>
          <w:szCs w:val="2"/>
        </w:rPr>
        <w:t xml:space="preserve"> </w:t>
      </w:r>
    </w:p>
    <w:p>
      <w:pPr>
        <w:pStyle w:val="Heading1"/>
        <w:keepNext w:val="1"/>
        <w:pageBreakBefore w:val="0"/>
        <w:widowControl w:val="1"/>
        <w:spacing w:before="280" w:after="140"/>
        <w:jc w:val="left"/>
      </w:pPr>
      <w:r>
        <w:rPr>
          <w:rFonts w:ascii="Cambria" w:hAnsi="Cambria" w:eastAsia="Malgun Gothic"/>
          <w:b w:val="1"/>
          <w:color w:val="17221C"/>
          <w:sz w:val="34"/>
          <w:szCs w:val="34"/>
        </w:rPr>
        <w:t>1. 원인</w:t>
      </w:r>
    </w:p>
    <w:p>
      <w:pPr>
        <w:pStyle w:val="Normal"/>
        <w:keepNext w:val="0"/>
        <w:widowControl w:val="1"/>
        <w:spacing w:before="0" w:after="160" w:line="294" w:lineRule="atLeast"/>
        <w:jc w:val="left"/>
      </w:pPr>
      <w:r>
        <w:rPr>
          <w:rFonts w:ascii="Calibri" w:hAnsi="Calibri" w:eastAsia="Malgun Gothic"/>
          <w:color w:val="17221C"/>
          <w:sz w:val="21"/>
          <w:szCs w:val="21"/>
        </w:rPr>
        <w:t>22시 이후 수도권과 영남 물량이 3번 도크 한 곳에 몰린다. 셔틀 두 대가 서로를 기다리며 적재가 멈춘다.</w:t>
      </w:r>
    </w:p>
    <w:p>
      <w:pPr>
        <w:pStyle w:val="Heading1"/>
        <w:keepNext w:val="1"/>
        <w:pageBreakBefore w:val="0"/>
        <w:widowControl w:val="1"/>
        <w:spacing w:before="280" w:after="140"/>
        <w:jc w:val="left"/>
      </w:pPr>
      <w:r>
        <w:rPr>
          <w:rFonts w:ascii="Cambria" w:hAnsi="Cambria" w:eastAsia="Malgun Gothic"/>
          <w:b w:val="1"/>
          <w:color w:val="17221C"/>
          <w:sz w:val="34"/>
          <w:szCs w:val="34"/>
        </w:rPr>
        <w:t>2. 대안 비교</w:t>
      </w:r>
    </w:p>
    <w:tbl>
      <w:tblPr>
        <w:tblStyle w:val="TableGrid"/>
        <w:tblW w:w="9728" w:type="dxa"/>
        <w:jc w:val="center"/>
        <w:tblBorders>
          <w:top w:val="single" w:sz="4" w:space="0" w:color="DDE4DF"/>
          <w:left w:val="single" w:sz="4" w:space="0" w:color="DDE4DF"/>
          <w:bottom w:val="single" w:sz="4" w:space="0" w:color="DDE4DF"/>
          <w:right w:val="single" w:sz="4" w:space="0" w:color="DDE4DF"/>
          <w:insideH w:val="single" w:sz="4" w:space="0" w:color="DDE4DF"/>
          <w:insideV w:val="single" w:sz="4" w:space="0" w:color="DDE4DF"/>
        </w:tblBorders>
      </w:tblPr>
      <w:tblGrid>
        <w:gridCol w:w="2432"/>
        <w:gridCol w:w="2432"/>
        <w:gridCol w:w="2432"/>
        <w:gridCol w:w="2432"/>
      </w:tblGrid>
      <w:tr>
        <w:trPr>
          <w:tblHeader/>
        </w:trPr>
        <w:tc>
          <w:tcPr>
            <w:tcW w:w="2432" w:type="dxa"/>
            <w:shd w:val="clear" w:color="auto" w:fill="132C24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안</w:t>
            </w:r>
          </w:p>
        </w:tc>
        <w:tc>
          <w:tcPr>
            <w:tcW w:w="2432" w:type="dxa"/>
            <w:shd w:val="clear" w:color="auto" w:fill="132C24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대기 (분)</w:t>
            </w:r>
          </w:p>
        </w:tc>
        <w:tc>
          <w:tcPr>
            <w:tcW w:w="2432" w:type="dxa"/>
            <w:shd w:val="clear" w:color="auto" w:fill="132C24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추가 비용</w:t>
            </w:r>
          </w:p>
        </w:tc>
        <w:tc>
          <w:tcPr>
            <w:tcW w:w="2432" w:type="dxa"/>
            <w:shd w:val="clear" w:color="auto" w:fill="132C24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판단</w:t>
            </w:r>
          </w:p>
        </w:tc>
      </w:tr>
      <w:tr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color w:val="17221C"/>
                <w:sz w:val="20"/>
                <w:szCs w:val="20"/>
              </w:rPr>
              <w:t>현행 유지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38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없음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기각</w:t>
            </w:r>
          </w:p>
        </w:tc>
      </w:tr>
      <w:tr>
        <w:tc>
          <w:tcPr>
            <w:tcW w:w="2432" w:type="dxa"/>
            <w:shd w:val="clear" w:color="auto" w:fill="E8F1EC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color w:val="17221C"/>
                <w:sz w:val="20"/>
                <w:szCs w:val="20"/>
              </w:rPr>
              <w:t>인력 2명 증원</w:t>
            </w:r>
          </w:p>
        </w:tc>
        <w:tc>
          <w:tcPr>
            <w:tcW w:w="2432" w:type="dxa"/>
            <w:shd w:val="clear" w:color="auto" w:fill="E8F1EC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21</w:t>
            </w:r>
          </w:p>
        </w:tc>
        <w:tc>
          <w:tcPr>
            <w:tcW w:w="2432" w:type="dxa"/>
            <w:shd w:val="clear" w:color="auto" w:fill="E8F1EC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월 740만 원</w:t>
            </w:r>
          </w:p>
        </w:tc>
        <w:tc>
          <w:tcPr>
            <w:tcW w:w="2432" w:type="dxa"/>
            <w:shd w:val="clear" w:color="auto" w:fill="E8F1EC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보류</w:t>
            </w:r>
          </w:p>
        </w:tc>
      </w:tr>
      <w:tr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color w:val="17221C"/>
                <w:sz w:val="20"/>
                <w:szCs w:val="20"/>
              </w:rPr>
              <w:t>도크 방향별 분리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0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없음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채택</w:t>
            </w:r>
          </w:p>
        </w:tc>
      </w:tr>
    </w:tbl>
    <w:p>
      <w:pPr>
        <w:pStyle w:val="Normal"/>
        <w:spacing w:before="40" w:after="40" w:line="40" w:lineRule="atLeast"/>
      </w:pPr>
      <w:r>
        <w:rPr>
          <w:rFonts w:ascii="Calibri" w:hAnsi="Calibri"/>
          <w:color w:val="F8F9F6"/>
          <w:sz w:val="2"/>
          <w:szCs w:val="2"/>
        </w:rPr>
        <w:t xml:space="preserve"> </w:t>
      </w:r>
    </w:p>
    <w:p>
      <w:pPr>
        <w:pStyle w:val="Heading1"/>
        <w:keepNext w:val="1"/>
        <w:pageBreakBefore w:val="0"/>
        <w:widowControl w:val="1"/>
        <w:spacing w:before="280" w:after="140"/>
        <w:jc w:val="left"/>
      </w:pPr>
      <w:r>
        <w:rPr>
          <w:rFonts w:ascii="Cambria" w:hAnsi="Cambria" w:eastAsia="Malgun Gothic"/>
          <w:b w:val="1"/>
          <w:color w:val="17221C"/>
          <w:sz w:val="34"/>
          <w:szCs w:val="34"/>
        </w:rPr>
        <w:t>3. 실행 계획</w:t>
      </w:r>
    </w:p>
    <w:p>
      <w:pPr>
        <w:pStyle w:val="Heading1"/>
        <w:keepNext w:val="1"/>
        <w:pageBreakBefore w:val="0"/>
        <w:widowControl w:val="1"/>
        <w:spacing w:before="280" w:after="140"/>
        <w:jc w:val="left"/>
      </w:pPr>
      <w:r>
        <w:rPr>
          <w:rFonts w:ascii="Cambria" w:hAnsi="Cambria" w:eastAsia="Malgun Gothic"/>
          <w:b w:val="1"/>
          <w:color w:val="17221C"/>
          <w:sz w:val="34"/>
          <w:szCs w:val="34"/>
        </w:rPr>
        <w:t>4. 요청</w:t>
      </w:r>
    </w:p>
    <w:tbl>
      <w:tblPr>
        <w:tblStyle w:val="TableGrid"/>
        <w:tblW w:w="9728" w:type="dxa"/>
        <w:jc w:val="center"/>
        <w:tblBorders>
          <w:top w:val="single" w:sz="4" w:space="0" w:color="DDE4DF"/>
          <w:left w:val="single" w:sz="4" w:space="0" w:color="DDE4DF"/>
          <w:bottom w:val="single" w:sz="4" w:space="0" w:color="DDE4DF"/>
          <w:right w:val="single" w:sz="4" w:space="0" w:color="DDE4DF"/>
          <w:insideH w:val="single" w:sz="4" w:space="0" w:color="DDE4DF"/>
          <w:insideV w:val="single" w:sz="4" w:space="0" w:color="DDE4DF"/>
        </w:tblBorders>
      </w:tblPr>
      <w:tblGrid>
        <w:gridCol w:w="9728"/>
      </w:tblGrid>
      <w:tr>
        <w:trPr>
          <w:tblHeader/>
        </w:trPr>
        <w:tc>
          <w:tcPr>
            <w:tcW w:w="9728" w:type="dxa"/>
            <w:shd w:val="clear" w:color="auto" w:fill="1F7A55"/>
            <w:vAlign w:val="center"/>
          </w:tcPr>
          <w:p>
            <w:pPr>
              <w:pStyle w:val="Normal"/>
              <w:spacing w:after="0" w:line="247" w:lineRule="atLeast"/>
            </w:pPr>
            <w:r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다음 점검</w:t>
            </w:r>
          </w:p>
        </w:tc>
      </w:tr>
      <w:tr>
        <w:tc>
          <w:tcPr>
            <w:tcW w:w="9728" w:type="dxa"/>
            <w:shd w:val="clear" w:color="auto" w:fill="E8F1EC"/>
            <w:vAlign w:val="center"/>
          </w:tcPr>
          <w:p>
            <w:pPr>
              <w:pStyle w:val="Normal"/>
              <w:spacing w:after="0" w:line="312" w:lineRule="atLeast"/>
            </w:pPr>
            <w:r>
              <w:rPr>
                <w:rFonts w:ascii="Cambria" w:hAnsi="Cambria" w:cs="Cambria"/>
                <w:b/>
                <w:color w:val="17221C"/>
                <w:sz w:val="24"/>
                <w:szCs w:val="24"/>
              </w:rPr>
              <w:t>10월 첫 주부터 도크 분리를 시범 운영하도록 승인해 주십시오.</w:t>
            </w:r>
          </w:p>
        </w:tc>
      </w:tr>
    </w:tbl>
    <w:p>
      <w:pPr>
        <w:pStyle w:val="Normal"/>
        <w:spacing w:before="40" w:after="40" w:line="40" w:lineRule="atLeast"/>
      </w:pPr>
      <w:r>
        <w:rPr>
          <w:rFonts w:ascii="Calibri" w:hAnsi="Calibri"/>
          <w:color w:val="F8F9F6"/>
          <w:sz w:val="2"/>
          <w:szCs w:val="2"/>
        </w:rPr>
        <w:t xml:space="preserve"> </w:t>
      </w:r>
    </w:p>
    <w:sectPr>
      <w:footerReference w:type="default" r:id="rId2"/>
      <w:pgSz w:w="11906" w:h="16838"/>
      <w:pgMar w:top="1089" w:right="1089" w:bottom="1089" w:left="1089" w:header="709" w:footer="709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fldSimple w:instr=" PAGE ">
      <w:r>
        <w:t>1</w:t>
      </w:r>
    </w:fldSimple>
    <w:r>
      <w:t xml:space="preserve">  /  </w:t>
    </w:r>
    <w:fldSimple w:instr=" NUMPAGES 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compose-brief</dc:title>
  <dc:creator>Mixdog</dc:creator>
  <cp:lastModifiedBy>Mixdog</cp:lastModifiedBy>
  <dcterms:created xsi:type="dcterms:W3CDTF">2026-09-23T07:55:19Z</dcterms:created>
  <dcterms:modified xsi:type="dcterms:W3CDTF">2026-09-23T07:55:19Z</dcterms:modified>
</cp:coreProperties>
</file>