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E609" w14:textId="77777777" w:rsidR="00166E39" w:rsidRDefault="00000000">
      <w:pPr>
        <w:spacing w:before="200" w:after="80"/>
        <w:jc w:val="center"/>
      </w:pPr>
      <w:r>
        <w:rPr>
          <w:rFonts w:ascii="Arial" w:hAnsi="Arial" w:cs="Arial"/>
          <w:b/>
          <w:bCs/>
          <w:color w:val="1B3A5C"/>
          <w:sz w:val="28"/>
          <w:szCs w:val="28"/>
        </w:rPr>
        <w:t>BRIEFING COMERCIAL</w:t>
      </w:r>
    </w:p>
    <w:p w14:paraId="4A8EAC34" w14:textId="77777777" w:rsidR="00166E39" w:rsidRDefault="00000000">
      <w:pPr>
        <w:spacing w:after="40"/>
        <w:jc w:val="center"/>
      </w:pPr>
      <w:r>
        <w:rPr>
          <w:rFonts w:ascii="Arial" w:hAnsi="Arial" w:cs="Arial"/>
          <w:b/>
          <w:bCs/>
          <w:color w:val="1B3A5C"/>
          <w:szCs w:val="24"/>
        </w:rPr>
        <w:t>Anderson [Sobrenome a confirmar] — CN Agropecuária</w:t>
      </w:r>
    </w:p>
    <w:p w14:paraId="5E7124ED" w14:textId="77777777" w:rsidR="00166E39" w:rsidRDefault="00000000">
      <w:pPr>
        <w:spacing w:after="40"/>
        <w:jc w:val="center"/>
      </w:pPr>
      <w:r>
        <w:rPr>
          <w:rFonts w:ascii="Arial" w:hAnsi="Arial" w:cs="Arial"/>
          <w:color w:val="1B3A5C"/>
          <w:sz w:val="22"/>
        </w:rPr>
        <w:t>Reestruturação Financeira e Recuperação Judicial/Extrajudicial</w:t>
      </w:r>
    </w:p>
    <w:p w14:paraId="35A2705D" w14:textId="77777777" w:rsidR="00166E39" w:rsidRDefault="00000000">
      <w:pPr>
        <w:spacing w:after="300"/>
        <w:jc w:val="center"/>
      </w:pPr>
      <w:r>
        <w:rPr>
          <w:rFonts w:ascii="Arial" w:hAnsi="Arial" w:cs="Arial"/>
          <w:i/>
          <w:iCs/>
          <w:color w:val="999999"/>
          <w:sz w:val="18"/>
          <w:szCs w:val="18"/>
        </w:rPr>
        <w:t>18 de março de 2026 — CONFIDENCIAL — USO INTERNO</w:t>
      </w:r>
    </w:p>
    <w:p w14:paraId="33BD7894" w14:textId="77777777" w:rsidR="00166E39" w:rsidRDefault="00000000">
      <w:pPr>
        <w:spacing w:before="360"/>
      </w:pPr>
      <w:r>
        <w:rPr>
          <w:rFonts w:ascii="Arial" w:hAnsi="Arial" w:cs="Arial"/>
          <w:b/>
          <w:bCs/>
          <w:color w:val="1B3A5C"/>
          <w:szCs w:val="24"/>
        </w:rPr>
        <w:t>1. DADOS DO CLIENTE</w:t>
      </w:r>
    </w:p>
    <w:p w14:paraId="06C7829C" w14:textId="77777777" w:rsidR="00166E39" w:rsidRDefault="00166E39">
      <w:pPr>
        <w:pBdr>
          <w:bottom w:val="single" w:sz="6" w:space="1" w:color="C4972A"/>
        </w:pBdr>
        <w:spacing w:after="200"/>
      </w:pPr>
    </w:p>
    <w:tbl>
      <w:tblPr>
        <w:tblW w:w="10466" w:type="dxa"/>
        <w:tblLayout w:type="fixed"/>
        <w:tblLook w:val="04A0" w:firstRow="1" w:lastRow="0" w:firstColumn="1" w:lastColumn="0" w:noHBand="0" w:noVBand="1"/>
      </w:tblPr>
      <w:tblGrid>
        <w:gridCol w:w="3200"/>
        <w:gridCol w:w="7266"/>
      </w:tblGrid>
      <w:tr w:rsidR="00166E39" w14:paraId="412833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6108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Cliente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938E2" w14:textId="77777777" w:rsidR="00166E39" w:rsidRDefault="00000000">
            <w:r>
              <w:rPr>
                <w:rFonts w:ascii="Arial" w:hAnsi="Arial" w:cs="Arial"/>
                <w:sz w:val="22"/>
              </w:rPr>
              <w:t>Anderson [Sobrenome a confirmar] / CN Agropecuária</w:t>
            </w:r>
          </w:p>
        </w:tc>
      </w:tr>
      <w:tr w:rsidR="00166E39" w14:paraId="546E7C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6584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Atividade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4695" w14:textId="77777777" w:rsidR="00166E39" w:rsidRDefault="00000000">
            <w:r>
              <w:rPr>
                <w:rFonts w:ascii="Arial" w:hAnsi="Arial" w:cs="Arial"/>
                <w:sz w:val="22"/>
              </w:rPr>
              <w:t>Pecuária de elite — Genética bovina (Nelore de produção e Giroleiteiro), leilões na Exposebu, exportação de embriões e sêmen para América Central e Ásia</w:t>
            </w:r>
          </w:p>
        </w:tc>
      </w:tr>
      <w:tr w:rsidR="00166E39" w14:paraId="2A6472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0115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Porte estimado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56084" w14:textId="77777777" w:rsidR="00166E39" w:rsidRDefault="00000000">
            <w:r>
              <w:rPr>
                <w:rFonts w:ascii="Arial" w:hAnsi="Arial" w:cs="Arial"/>
                <w:sz w:val="22"/>
              </w:rPr>
              <w:t>Patrimônio substancialmente superior ao endividamento. Fazenda em GO (próxima a Rio Verde, frente ao Botecão), fazenda em SP (potencial loteamento 1.400+ lotes). ~160 doadoras de elite, plantel premiado na Exposebu 2023. Faturamento em leilões: R$ 4–5 milhões/evento.</w:t>
            </w:r>
          </w:p>
        </w:tc>
      </w:tr>
      <w:tr w:rsidR="00166E39" w14:paraId="032682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1530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Localização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6B4E4" w14:textId="77777777" w:rsidR="00166E39" w:rsidRDefault="00000000">
            <w:r>
              <w:rPr>
                <w:rFonts w:ascii="Arial" w:hAnsi="Arial" w:cs="Arial"/>
                <w:sz w:val="22"/>
              </w:rPr>
              <w:t>Fazenda em Goiás (Rio Verde/Jataí) e propriedade em São Paulo</w:t>
            </w:r>
          </w:p>
        </w:tc>
      </w:tr>
      <w:tr w:rsidR="00166E39" w14:paraId="140EC5E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CCD1E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CPF/CNPJ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F82E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[A CONFIRMAR — solicitar na reunião de fechamento]</w:t>
            </w:r>
          </w:p>
        </w:tc>
      </w:tr>
      <w:tr w:rsidR="00166E39" w14:paraId="681F07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8D9C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Contato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446DB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[A CONFIRMAR — Anderson já tem WhatsApp com Dr. Leonardo]</w:t>
            </w:r>
          </w:p>
        </w:tc>
      </w:tr>
      <w:tr w:rsidR="00166E39" w14:paraId="46DAE9B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96EE6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Atendimento inicial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1C50" w14:textId="77777777" w:rsidR="00166E39" w:rsidRDefault="00000000">
            <w:r>
              <w:rPr>
                <w:rFonts w:ascii="Arial" w:hAnsi="Arial" w:cs="Arial"/>
                <w:sz w:val="22"/>
              </w:rPr>
              <w:t>Dr. Leonardo Amaral — 18/03/2026, escritório de Rio Verde</w:t>
            </w:r>
          </w:p>
        </w:tc>
      </w:tr>
      <w:tr w:rsidR="00166E39" w14:paraId="36F47D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5550B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Relação prévia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63FC" w14:textId="77777777" w:rsidR="00166E39" w:rsidRDefault="00000000">
            <w:r>
              <w:rPr>
                <w:rFonts w:ascii="Arial" w:hAnsi="Arial" w:cs="Arial"/>
                <w:sz w:val="22"/>
              </w:rPr>
              <w:t>Sim. O escritório já atuou na venda de uma fazenda do cliente. Relação de confiança estabelecida.</w:t>
            </w:r>
          </w:p>
        </w:tc>
      </w:tr>
    </w:tbl>
    <w:p w14:paraId="5C91F24E" w14:textId="77777777" w:rsidR="00166E39" w:rsidRDefault="00166E39">
      <w:pPr>
        <w:spacing w:after="100"/>
      </w:pPr>
    </w:p>
    <w:p w14:paraId="6609784B" w14:textId="77777777" w:rsidR="00166E39" w:rsidRDefault="00000000">
      <w:pPr>
        <w:spacing w:before="360"/>
      </w:pPr>
      <w:r>
        <w:rPr>
          <w:rFonts w:ascii="Arial" w:hAnsi="Arial" w:cs="Arial"/>
          <w:b/>
          <w:bCs/>
          <w:color w:val="1B3A5C"/>
          <w:szCs w:val="24"/>
        </w:rPr>
        <w:t>2. SITUAÇÃO APRESENTADA</w:t>
      </w:r>
    </w:p>
    <w:p w14:paraId="1458CCE9" w14:textId="77777777" w:rsidR="00166E39" w:rsidRDefault="00166E39">
      <w:pPr>
        <w:pBdr>
          <w:bottom w:val="single" w:sz="6" w:space="1" w:color="C4972A"/>
        </w:pBdr>
        <w:spacing w:after="200"/>
      </w:pPr>
    </w:p>
    <w:p w14:paraId="2DB9BD32" w14:textId="77777777" w:rsidR="00166E39" w:rsidRDefault="00000000">
      <w:pPr>
        <w:spacing w:after="160"/>
      </w:pPr>
      <w:r>
        <w:rPr>
          <w:rFonts w:ascii="Arial" w:hAnsi="Arial" w:cs="Arial"/>
          <w:sz w:val="22"/>
        </w:rPr>
        <w:t xml:space="preserve">Anderson é um pecuário de alto nível técnico que atua há mais de 8 anos no mercado de genética bovina de elite (Nelore e Giroleiteiro), com operações em Goiás e São Paulo. Possui plantel premiado na </w:t>
      </w:r>
      <w:r>
        <w:rPr>
          <w:rFonts w:ascii="Arial" w:hAnsi="Arial" w:cs="Arial"/>
          <w:sz w:val="22"/>
        </w:rPr>
        <w:lastRenderedPageBreak/>
        <w:t>Exposebu, é promotor de leilões de relevância nacional e está em fase avançada de expansão internacional — exportação de embriões para Colômbia, Equador, Panamá, Guatemala e Índia.</w:t>
      </w:r>
    </w:p>
    <w:p w14:paraId="499BE3A2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O problema central é de liquidez, não de patrimônio. </w:t>
      </w:r>
      <w:r>
        <w:rPr>
          <w:rFonts w:ascii="Arial" w:hAnsi="Arial" w:cs="Arial"/>
          <w:sz w:val="22"/>
        </w:rPr>
        <w:t>O cliente carrega dívida total de aproximadamente R$ 37 milhões distribuída entre três bancos (Banco do Brasil, Santander e Sicredi), com 80% dos vencimentos concentrados no segundo semestre de 2026. A combinação de juros elevados (14–15% a.a.), derretimento do preço do gado de corte nos últimos anos e investimentos em infraestrutura de fazenda comprimiu o fluxo de caixa a um nível desconfortável.</w:t>
      </w:r>
    </w:p>
    <w:p w14:paraId="7C7887BA" w14:textId="77777777" w:rsidR="00166E39" w:rsidRDefault="00000000">
      <w:pPr>
        <w:spacing w:after="160"/>
      </w:pPr>
      <w:r>
        <w:rPr>
          <w:rFonts w:ascii="Arial" w:hAnsi="Arial" w:cs="Arial"/>
          <w:sz w:val="22"/>
        </w:rPr>
        <w:t>Nas palavras do próprio cliente: “Eu não tenho problema patrimonial, eu tenho problema de liquidez. Meu patrimônio é muito maior do que o negócio, com potencial de médio e longo prazo de ficar ainda muito maior.”</w:t>
      </w:r>
    </w:p>
    <w:p w14:paraId="36FBEE85" w14:textId="77777777" w:rsidR="00166E39" w:rsidRDefault="00000000">
      <w:pPr>
        <w:spacing w:after="160"/>
      </w:pPr>
      <w:r>
        <w:rPr>
          <w:rFonts w:ascii="Arial" w:hAnsi="Arial" w:cs="Arial"/>
          <w:sz w:val="22"/>
        </w:rPr>
        <w:t>Ele já vem fazendo manobras financeiras por conta própria: antecipando pagamentos para manter relacionamento bancário, tentando trocar dívidas caras por FCO (6% a.a.) e negociando com gerentes para evitar alienação fiduciária. Reconhece, porém, que está no limite da capacidade individual e quer entender tecnicamente as opções: negociação extrajudicial, recuperação extrajudicial ou recuperação judicial.</w:t>
      </w:r>
    </w:p>
    <w:p w14:paraId="79FA3935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Agravante: </w:t>
      </w:r>
      <w:r>
        <w:rPr>
          <w:rFonts w:ascii="Arial" w:hAnsi="Arial" w:cs="Arial"/>
          <w:sz w:val="22"/>
        </w:rPr>
        <w:t>está em processo de divisão patrimonial com o irmão (falecimento da mãe em janeiro/2026), o que implica perda do CPF do irmão como avalista e necessidade de quitar as obrigações em nome dele, pressionando ainda mais o caixa.</w:t>
      </w:r>
    </w:p>
    <w:p w14:paraId="0F719EBE" w14:textId="77777777" w:rsidR="00166E39" w:rsidRDefault="00000000">
      <w:pPr>
        <w:spacing w:before="360"/>
      </w:pPr>
      <w:r>
        <w:rPr>
          <w:rFonts w:ascii="Arial" w:hAnsi="Arial" w:cs="Arial"/>
          <w:b/>
          <w:bCs/>
          <w:color w:val="1B3A5C"/>
          <w:szCs w:val="24"/>
        </w:rPr>
        <w:t>3. DIAGNÓSTICO PRELIMINAR</w:t>
      </w:r>
    </w:p>
    <w:p w14:paraId="14E39580" w14:textId="77777777" w:rsidR="00166E39" w:rsidRDefault="00166E39">
      <w:pPr>
        <w:pBdr>
          <w:bottom w:val="single" w:sz="6" w:space="1" w:color="C4972A"/>
        </w:pBdr>
        <w:spacing w:after="200"/>
      </w:pPr>
    </w:p>
    <w:p w14:paraId="79EB04FF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Enquadramento: </w:t>
      </w:r>
      <w:r>
        <w:rPr>
          <w:rFonts w:ascii="Arial" w:hAnsi="Arial" w:cs="Arial"/>
          <w:sz w:val="22"/>
        </w:rPr>
        <w:t>Crise de liquidez em atividade rural com patrimônio sólido e perspectiva concreta de geração de caixa. Caso clássico de produção rural impactada pela combinação de choque de juros, queda de preços pecuariários e investimentos que não maturaram no tempo esperado.</w:t>
      </w:r>
    </w:p>
    <w:p w14:paraId="482B9F00" w14:textId="77777777" w:rsidR="00166E39" w:rsidRDefault="00000000">
      <w:pPr>
        <w:spacing w:after="160"/>
      </w:pPr>
      <w:r>
        <w:rPr>
          <w:rFonts w:ascii="Arial" w:hAnsi="Arial" w:cs="Arial"/>
          <w:sz w:val="22"/>
        </w:rPr>
        <w:t>A situação financeira mapeada na reunião revela o seguinte quadro:</w:t>
      </w:r>
    </w:p>
    <w:tbl>
      <w:tblPr>
        <w:tblW w:w="10466" w:type="dxa"/>
        <w:tblLayout w:type="fixed"/>
        <w:tblLook w:val="04A0" w:firstRow="1" w:lastRow="0" w:firstColumn="1" w:lastColumn="0" w:noHBand="0" w:noVBand="1"/>
      </w:tblPr>
      <w:tblGrid>
        <w:gridCol w:w="3200"/>
        <w:gridCol w:w="7266"/>
      </w:tblGrid>
      <w:tr w:rsidR="00166E39" w14:paraId="24E173A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FA049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Dívida total estimada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4EFD4" w14:textId="77777777" w:rsidR="00166E39" w:rsidRDefault="00000000">
            <w:r>
              <w:rPr>
                <w:rFonts w:ascii="Arial" w:hAnsi="Arial" w:cs="Arial"/>
                <w:sz w:val="22"/>
              </w:rPr>
              <w:t>~R$ 37.000.000,00</w:t>
            </w:r>
          </w:p>
        </w:tc>
      </w:tr>
      <w:tr w:rsidR="00166E39" w14:paraId="1A3011D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EAD20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Banco do Brasil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48E33" w14:textId="77777777" w:rsidR="00166E39" w:rsidRDefault="00000000">
            <w:r>
              <w:rPr>
                <w:rFonts w:ascii="Arial" w:hAnsi="Arial" w:cs="Arial"/>
                <w:sz w:val="22"/>
              </w:rPr>
              <w:t>~R$ 6–7 milhões (FCO a 6% a.a. + custeio + hipoteca)</w:t>
            </w:r>
          </w:p>
        </w:tc>
      </w:tr>
      <w:tr w:rsidR="00166E39" w14:paraId="2A5E6A8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7038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Santander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5E065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[A detalhar — operações mistas, hipoteca]</w:t>
            </w:r>
          </w:p>
        </w:tc>
      </w:tr>
      <w:tr w:rsidR="00166E39" w14:paraId="6F25E0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26E6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Sicredi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2F537" w14:textId="77777777" w:rsidR="00166E39" w:rsidRDefault="00000000">
            <w:r>
              <w:rPr>
                <w:rFonts w:ascii="Arial" w:hAnsi="Arial" w:cs="Arial"/>
                <w:sz w:val="22"/>
              </w:rPr>
              <w:t>~R$ 12–13 milhões (hipoteca + ~R$ 3 milhões em alienação fiduciária)</w:t>
            </w:r>
          </w:p>
        </w:tc>
      </w:tr>
      <w:tr w:rsidR="00166E39" w14:paraId="0C97DA2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5FABB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lastRenderedPageBreak/>
              <w:t>Garantias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0A8C8" w14:textId="77777777" w:rsidR="00166E39" w:rsidRDefault="00000000">
            <w:r>
              <w:rPr>
                <w:rFonts w:ascii="Arial" w:hAnsi="Arial" w:cs="Arial"/>
                <w:sz w:val="22"/>
              </w:rPr>
              <w:t>Hipoteca (maior parte) + Alienação fiduciária (~R$ 3 mi no Sicredi — ponto crítico)</w:t>
            </w:r>
          </w:p>
        </w:tc>
      </w:tr>
      <w:tr w:rsidR="00166E39" w14:paraId="3207271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AC75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Recebíveis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CC23" w14:textId="77777777" w:rsidR="00166E39" w:rsidRDefault="00000000">
            <w:r>
              <w:rPr>
                <w:rFonts w:ascii="Arial" w:hAnsi="Arial" w:cs="Arial"/>
                <w:sz w:val="22"/>
              </w:rPr>
              <w:t>~R$ 14–15 milhões + US$ 400 mil (exportação genética)</w:t>
            </w:r>
          </w:p>
        </w:tc>
      </w:tr>
      <w:tr w:rsidR="00166E39" w14:paraId="18C1CD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9489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Caixa disponível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9320B" w14:textId="77777777" w:rsidR="00166E39" w:rsidRDefault="00000000">
            <w:r>
              <w:rPr>
                <w:rFonts w:ascii="Arial" w:hAnsi="Arial" w:cs="Arial"/>
                <w:sz w:val="22"/>
              </w:rPr>
              <w:t>~R$ 7–8 milhões (potencial R$ 15–25 milhões)</w:t>
            </w:r>
          </w:p>
        </w:tc>
      </w:tr>
      <w:tr w:rsidR="00166E39" w14:paraId="54696E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EA35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Patrimônio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D94E" w14:textId="77777777" w:rsidR="00166E39" w:rsidRDefault="00000000">
            <w:r>
              <w:rPr>
                <w:rFonts w:ascii="Arial" w:hAnsi="Arial" w:cs="Arial"/>
                <w:sz w:val="22"/>
              </w:rPr>
              <w:t>Substancialmente superior à dívida. Fazenda GO avaliada acima do endividamento. Fazenda SP: potencial de loteamento (1.400 lotes).</w:t>
            </w:r>
          </w:p>
        </w:tc>
      </w:tr>
      <w:tr w:rsidR="00166E39" w14:paraId="76E588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B8E5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Vencimentos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0E1F" w14:textId="77777777" w:rsidR="00166E39" w:rsidRDefault="00000000">
            <w:r>
              <w:rPr>
                <w:rFonts w:ascii="Arial" w:hAnsi="Arial" w:cs="Arial"/>
                <w:sz w:val="22"/>
              </w:rPr>
              <w:t>~80% concentrados no 2º semestre de 2026</w:t>
            </w:r>
          </w:p>
        </w:tc>
      </w:tr>
      <w:tr w:rsidR="00166E39" w14:paraId="777ED30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2EDD8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Fornecedores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B52A9" w14:textId="77777777" w:rsidR="00166E39" w:rsidRDefault="00000000">
            <w:r>
              <w:rPr>
                <w:rFonts w:ascii="Arial" w:hAnsi="Arial" w:cs="Arial"/>
                <w:sz w:val="22"/>
              </w:rPr>
              <w:t>Zero dívida. O problema é exclusivamente bancário.</w:t>
            </w:r>
          </w:p>
        </w:tc>
      </w:tr>
    </w:tbl>
    <w:p w14:paraId="577328EF" w14:textId="77777777" w:rsidR="00166E39" w:rsidRDefault="00166E39">
      <w:pPr>
        <w:spacing w:after="100"/>
      </w:pPr>
    </w:p>
    <w:p w14:paraId="77F62DDD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Ponto crítico: </w:t>
      </w:r>
      <w:r>
        <w:rPr>
          <w:rFonts w:ascii="Arial" w:hAnsi="Arial" w:cs="Arial"/>
          <w:sz w:val="22"/>
        </w:rPr>
        <w:t>a alienação fiduciária no Sicredi (~R$ 3 milhões) é o principal risco. A alienação não entra na RJ e dificulta enormemente a negociação. A estratégia do cliente já é sair dessa posição, mas precisa de orientação técnica para fazê-lo no tempo certo.</w:t>
      </w:r>
    </w:p>
    <w:p w14:paraId="3A4A7DB5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Fator favorável: </w:t>
      </w:r>
      <w:r>
        <w:rPr>
          <w:rFonts w:ascii="Arial" w:hAnsi="Arial" w:cs="Arial"/>
          <w:sz w:val="22"/>
        </w:rPr>
        <w:t>o cliente está em dia com todos os pagamentos, possui fôlego de caixa e está vindo antes de qualquer inadimplência. Este é o cenário ideal para atuação preventiva — conforme o próprio Dr. Leonardo sinalizou na reunião.</w:t>
      </w:r>
    </w:p>
    <w:p w14:paraId="56C55D59" w14:textId="77777777" w:rsidR="00166E39" w:rsidRDefault="00000000">
      <w:pPr>
        <w:spacing w:before="360"/>
      </w:pPr>
      <w:r>
        <w:rPr>
          <w:rFonts w:ascii="Arial" w:hAnsi="Arial" w:cs="Arial"/>
          <w:b/>
          <w:bCs/>
          <w:color w:val="1B3A5C"/>
          <w:szCs w:val="24"/>
        </w:rPr>
        <w:t>4. TESE JURÍDICA VIÁVEL</w:t>
      </w:r>
    </w:p>
    <w:p w14:paraId="6C9AFBF1" w14:textId="77777777" w:rsidR="00166E39" w:rsidRDefault="00166E39">
      <w:pPr>
        <w:pBdr>
          <w:bottom w:val="single" w:sz="6" w:space="1" w:color="C4972A"/>
        </w:pBdr>
        <w:spacing w:after="200"/>
      </w:pPr>
    </w:p>
    <w:p w14:paraId="10C039E0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Linha principal: </w:t>
      </w:r>
      <w:r>
        <w:rPr>
          <w:rFonts w:ascii="Arial" w:hAnsi="Arial" w:cs="Arial"/>
          <w:sz w:val="22"/>
        </w:rPr>
        <w:t>Diagnóstico financeiro completo seguido de avaliação estratégica escalonada. O caso comporta três níveis de atuação, a serem definidos após o diagnóstico:</w:t>
      </w:r>
    </w:p>
    <w:p w14:paraId="3978FA73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Nível 1 — Reestruturação extrajudicial assistida: </w:t>
      </w:r>
      <w:r>
        <w:rPr>
          <w:rFonts w:ascii="Arial" w:hAnsi="Arial" w:cs="Arial"/>
          <w:sz w:val="22"/>
        </w:rPr>
        <w:t>Revisão contratual das operações bancárias, identificação de cláusulas abusivas (juros compostos, capitalização indevida, taxas acima do pactuado), renegociação direta com cada instituição financeira. Objetivo: redução de juros, alongamento de prazos, eliminação da alienação fiduciária. Fundamento: Art. 421 e seguintes do Código Civil (boa-fé objetiva), Súmula 297 do STJ, legislação de crédito rural (Decreto-Lei nº 167/1967).</w:t>
      </w:r>
    </w:p>
    <w:p w14:paraId="712CF0D4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Nível 2 — Recuperação Extrajudicial (Art. 161 e ss. da Lei nº 11.101/2005, com alterações da Lei nº 14.112/2020): </w:t>
      </w:r>
      <w:r>
        <w:rPr>
          <w:rFonts w:ascii="Arial" w:hAnsi="Arial" w:cs="Arial"/>
          <w:sz w:val="22"/>
        </w:rPr>
        <w:t>Plano de pagamento negociado diretamente com os credores, homologado judicialmente. Vantagem: menor exposição pública, preservação da credibilidade. Exige adesão de 3/5 dos credores de cada classe.</w:t>
      </w:r>
    </w:p>
    <w:p w14:paraId="641FFA29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lastRenderedPageBreak/>
        <w:t xml:space="preserve">Nível 3 — Recuperação Judicial (Art. 47 e ss. da Lei nº 11.101/2005): </w:t>
      </w:r>
      <w:r>
        <w:rPr>
          <w:rFonts w:ascii="Arial" w:hAnsi="Arial" w:cs="Arial"/>
          <w:sz w:val="22"/>
        </w:rPr>
        <w:t>Ferramenta mais robusta. Possibilita desconto de 30–40% na dívida, alongamento para 8–10 anos, stay period de 180 dias. A Lei nº 14.112/2020 trouxe dispositivos específicos para o produtor rural (Art. 48, §2º), facilitando o acesso. A Resolução nº 586/2024 do CNJ exige tentativa de mediação/conciliação prévia, o que demanda preparação antecipada.</w:t>
      </w:r>
    </w:p>
    <w:p w14:paraId="39CCEE8E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Jurisprudência favorável: </w:t>
      </w:r>
      <w:r>
        <w:rPr>
          <w:rFonts w:ascii="Arial" w:hAnsi="Arial" w:cs="Arial"/>
          <w:sz w:val="22"/>
        </w:rPr>
        <w:t>o TJGO vem construindo jurisprudência favorável ao produtor rural em RJ, inclusive quanto à alienação fiduciária de maquinário (conforme mencionado pelo Dr. Leonardo). O escritório possui 33 RJs ativas, conferindo experiência direta com os juízos competentes da região.</w:t>
      </w:r>
    </w:p>
    <w:p w14:paraId="05E89A80" w14:textId="77777777" w:rsidR="00166E39" w:rsidRDefault="00000000">
      <w:pPr>
        <w:spacing w:before="360"/>
      </w:pPr>
      <w:r>
        <w:rPr>
          <w:rFonts w:ascii="Arial" w:hAnsi="Arial" w:cs="Arial"/>
          <w:b/>
          <w:bCs/>
          <w:color w:val="1B3A5C"/>
          <w:szCs w:val="24"/>
        </w:rPr>
        <w:t>5. ARGUMENTOS DE VALOR</w:t>
      </w:r>
    </w:p>
    <w:p w14:paraId="477BDCF8" w14:textId="77777777" w:rsidR="00166E39" w:rsidRDefault="00166E39">
      <w:pPr>
        <w:pBdr>
          <w:bottom w:val="single" w:sz="6" w:space="1" w:color="C4972A"/>
        </w:pBdr>
        <w:spacing w:after="200"/>
      </w:pPr>
    </w:p>
    <w:p w14:paraId="75D8DFF8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Urgência do caso: </w:t>
      </w:r>
      <w:r>
        <w:rPr>
          <w:rFonts w:ascii="Arial" w:hAnsi="Arial" w:cs="Arial"/>
          <w:sz w:val="22"/>
        </w:rPr>
        <w:t>o cliente ainda tem fôlego financeiro, está adimplente e possui margem de negociação. Cada mês sem estruturação profissional eleva o risco de deterioração: os vencimentos do 2º semestre coincidirão com restrição de crédito no mercado, tornando a renegociação mais difícil. A saída do irmão como avalista reduzirá a capacidade de garantia.</w:t>
      </w:r>
    </w:p>
    <w:p w14:paraId="1C15310C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Riscos de não agir: </w:t>
      </w:r>
      <w:r>
        <w:rPr>
          <w:rFonts w:ascii="Arial" w:hAnsi="Arial" w:cs="Arial"/>
          <w:sz w:val="22"/>
        </w:rPr>
        <w:t>sem atuação técnica, o cliente pode: (a) ser empurrado para alienação fiduciária em mais operações, comprometendo a viabilidade de futura RJ; (b) perder timing de negociação ao se tornar inadimplente; (c) vender patrimônio com potencial de valorização enorme (fazenda SP = loteamento de R$ 300+ milhões) por fração do valor para cobrir dívida de R$ 37 milhões.</w:t>
      </w:r>
    </w:p>
    <w:p w14:paraId="740747E3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Benefício econômico potencial: </w:t>
      </w:r>
      <w:r>
        <w:rPr>
          <w:rFonts w:ascii="Arial" w:hAnsi="Arial" w:cs="Arial"/>
          <w:sz w:val="22"/>
        </w:rPr>
        <w:t>em cenário de RJ, redução de 30–40% sobre R$ 37 milhões representa economia de R$ 11 a R$ 15 milhões, além do alongamento de prazo que desobriga o caixa para operações produtivas. Mesmo em reestruturação extrajudicial, a redução de juros de 14–15% para 6–8% geraria economia anual significativa.</w:t>
      </w:r>
    </w:p>
    <w:p w14:paraId="565DC7F3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Diferencial técnico do escritório: </w:t>
      </w:r>
      <w:r>
        <w:rPr>
          <w:rFonts w:ascii="Arial" w:hAnsi="Arial" w:cs="Arial"/>
          <w:sz w:val="22"/>
        </w:rPr>
        <w:t>o Amaral e Melo é um dos poucos escritórios que combina expertise em RJ de produtor rural com estrutura financeira própria (AgriCompany — consultoria e gestão para grupos rurais, 50 pessoas, 7 anos). Equipe de 15 advogados dedicados à reestruturação, liderada pelo Dr. Leandro Amaral (especialista pelo INSPER). São 33 RJs em andamento. O escritório produz o PRJ internamente, com linguagem financeira e contábil adequada ao perito — diferencial que escritórios de fora da região não possuem.</w:t>
      </w:r>
    </w:p>
    <w:p w14:paraId="66CC921D" w14:textId="77777777" w:rsidR="00166E39" w:rsidRDefault="00000000">
      <w:pPr>
        <w:spacing w:after="160"/>
      </w:pPr>
      <w:r>
        <w:rPr>
          <w:rFonts w:ascii="Arial" w:hAnsi="Arial" w:cs="Arial"/>
          <w:b/>
          <w:bCs/>
          <w:sz w:val="22"/>
        </w:rPr>
        <w:t xml:space="preserve">Vantagem competitiva sobre o escritório de SP: </w:t>
      </w:r>
      <w:r>
        <w:rPr>
          <w:rFonts w:ascii="Arial" w:hAnsi="Arial" w:cs="Arial"/>
          <w:sz w:val="22"/>
        </w:rPr>
        <w:t xml:space="preserve">o cliente já sinalizou preferência pelo Amaral e Melo em detrimento de empresa paulista indicada pelo Dr. Rui (Ferreira Pires). Argumentos reconhecidos pelo próprio cliente: (a) expertise específica em agro e RJ de produtor; (b) presença regional e </w:t>
      </w:r>
      <w:r>
        <w:rPr>
          <w:rFonts w:ascii="Arial" w:hAnsi="Arial" w:cs="Arial"/>
          <w:sz w:val="22"/>
        </w:rPr>
        <w:lastRenderedPageBreak/>
        <w:t>relacionamento com gerentes bancários locais; (c) compreensão do fluxo safra/entressafra; (d) honorários compatíveis com a realidade do produtor.</w:t>
      </w:r>
    </w:p>
    <w:p w14:paraId="510E3E66" w14:textId="77777777" w:rsidR="00166E39" w:rsidRDefault="00000000">
      <w:pPr>
        <w:spacing w:before="360"/>
      </w:pPr>
      <w:r>
        <w:rPr>
          <w:rFonts w:ascii="Arial" w:hAnsi="Arial" w:cs="Arial"/>
          <w:b/>
          <w:bCs/>
          <w:color w:val="1B3A5C"/>
          <w:szCs w:val="24"/>
        </w:rPr>
        <w:t>6. COMPLEXIDADE E ESTIMATIVA</w:t>
      </w:r>
    </w:p>
    <w:p w14:paraId="2A7C9D0F" w14:textId="77777777" w:rsidR="00166E39" w:rsidRDefault="00166E39">
      <w:pPr>
        <w:pBdr>
          <w:bottom w:val="single" w:sz="6" w:space="1" w:color="C4972A"/>
        </w:pBdr>
        <w:spacing w:after="200"/>
      </w:pPr>
    </w:p>
    <w:tbl>
      <w:tblPr>
        <w:tblW w:w="10466" w:type="dxa"/>
        <w:tblLayout w:type="fixed"/>
        <w:tblLook w:val="04A0" w:firstRow="1" w:lastRow="0" w:firstColumn="1" w:lastColumn="0" w:noHBand="0" w:noVBand="1"/>
      </w:tblPr>
      <w:tblGrid>
        <w:gridCol w:w="3200"/>
        <w:gridCol w:w="7266"/>
      </w:tblGrid>
      <w:tr w:rsidR="00166E39" w14:paraId="7634F0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1FF4D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Complexidade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DEF4" w14:textId="77777777" w:rsidR="00166E39" w:rsidRDefault="00000000">
            <w:r>
              <w:rPr>
                <w:rFonts w:ascii="Arial" w:hAnsi="Arial" w:cs="Arial"/>
                <w:sz w:val="22"/>
              </w:rPr>
              <w:t>ALTA</w:t>
            </w:r>
          </w:p>
        </w:tc>
      </w:tr>
      <w:tr w:rsidR="00166E39" w14:paraId="5F66DE1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685A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Tipo de atuação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31DF" w14:textId="77777777" w:rsidR="00166E39" w:rsidRDefault="00000000">
            <w:r>
              <w:rPr>
                <w:rFonts w:ascii="Arial" w:hAnsi="Arial" w:cs="Arial"/>
                <w:sz w:val="22"/>
              </w:rPr>
              <w:t>Consultiva (diagnóstico) + Administrativa (renegociação bancária) + Judicial (eventual RJ)</w:t>
            </w:r>
          </w:p>
        </w:tc>
      </w:tr>
      <w:tr w:rsidR="00166E39" w14:paraId="42FC4FE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633D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Fases do trabalho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BEFA" w14:textId="77777777" w:rsidR="00166E39" w:rsidRDefault="00000000">
            <w:r>
              <w:rPr>
                <w:rFonts w:ascii="Arial" w:hAnsi="Arial" w:cs="Arial"/>
                <w:sz w:val="22"/>
              </w:rPr>
              <w:t>Fase 1: Diagnóstico financeiro e jurídico completo (levantamento de todos os contratos, fluxo de caixa, projeções). Fase 2: Definição estratégica (extrajudicial vs. RJ). Fase 3: Execução (negociação/ajuizamento). Fase 4: Acompanhamento (4–5 anos se RJ).</w:t>
            </w:r>
          </w:p>
        </w:tc>
      </w:tr>
      <w:tr w:rsidR="00166E39" w14:paraId="7945C2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AEB4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Prazo estimado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2267" w14:textId="77777777" w:rsidR="00166E39" w:rsidRDefault="00000000">
            <w:r>
              <w:rPr>
                <w:rFonts w:ascii="Arial" w:hAnsi="Arial" w:cs="Arial"/>
                <w:sz w:val="22"/>
              </w:rPr>
              <w:t>Diagnóstico: 15–30 dias. Execução: 60–90 dias para protocolo de RJ. Duração total se RJ: 4–5 anos.</w:t>
            </w:r>
          </w:p>
        </w:tc>
      </w:tr>
      <w:tr w:rsidR="00166E39" w14:paraId="296520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5677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Honorários (ref.)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C5F6" w14:textId="77777777" w:rsidR="00166E39" w:rsidRDefault="00000000">
            <w:r>
              <w:rPr>
                <w:rFonts w:ascii="Arial" w:hAnsi="Arial" w:cs="Arial"/>
                <w:sz w:val="22"/>
              </w:rPr>
              <w:t>Dr. Leonardo mencionou faixa de 2,5% a 3% sobre o valor da dívida (~R$ 925 mil a R$ 1,1 milhão), parcelável durante o processo. Custo global de ~5% (incluindo AJ e PRJ) também discutido. Cliente receptivo.</w:t>
            </w:r>
          </w:p>
        </w:tc>
      </w:tr>
      <w:tr w:rsidR="00166E39" w14:paraId="7B26F1C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50F15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Equipe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631D" w14:textId="77777777" w:rsidR="00166E39" w:rsidRDefault="00000000">
            <w:r>
              <w:rPr>
                <w:rFonts w:ascii="Arial" w:hAnsi="Arial" w:cs="Arial"/>
                <w:sz w:val="22"/>
              </w:rPr>
              <w:t>Dr. Leandro Amaral (líder), equipe de 15 advogados, AgriCompany (financeiro/PRJ), contabilidade especializada em AJ</w:t>
            </w:r>
          </w:p>
        </w:tc>
      </w:tr>
    </w:tbl>
    <w:p w14:paraId="20163983" w14:textId="77777777" w:rsidR="00166E39" w:rsidRDefault="00166E39">
      <w:pPr>
        <w:spacing w:after="100"/>
      </w:pPr>
    </w:p>
    <w:p w14:paraId="0FA9154F" w14:textId="77777777" w:rsidR="00166E39" w:rsidRDefault="00000000">
      <w:pPr>
        <w:spacing w:before="360"/>
      </w:pPr>
      <w:r>
        <w:rPr>
          <w:rFonts w:ascii="Arial" w:hAnsi="Arial" w:cs="Arial"/>
          <w:b/>
          <w:bCs/>
          <w:color w:val="1B3A5C"/>
          <w:szCs w:val="24"/>
        </w:rPr>
        <w:t>7. ALERTAS PARA A REUNIÃO</w:t>
      </w:r>
    </w:p>
    <w:p w14:paraId="64A32C72" w14:textId="77777777" w:rsidR="00166E39" w:rsidRDefault="00166E39">
      <w:pPr>
        <w:pBdr>
          <w:bottom w:val="single" w:sz="6" w:space="1" w:color="C4972A"/>
        </w:pBdr>
        <w:spacing w:after="200"/>
      </w:pPr>
    </w:p>
    <w:tbl>
      <w:tblPr>
        <w:tblW w:w="10466" w:type="dxa"/>
        <w:tblLayout w:type="fixed"/>
        <w:tblLook w:val="04A0" w:firstRow="1" w:lastRow="0" w:firstColumn="1" w:lastColumn="0" w:noHBand="0" w:noVBand="1"/>
      </w:tblPr>
      <w:tblGrid>
        <w:gridCol w:w="10466"/>
      </w:tblGrid>
      <w:tr w:rsidR="00166E39" w14:paraId="6DACA078" w14:textId="77777777">
        <w:tc>
          <w:tcPr>
            <w:tcW w:w="10466" w:type="dxa"/>
            <w:tcBorders>
              <w:top w:val="single" w:sz="1" w:space="0" w:color="CCCCCC"/>
              <w:left w:val="single" w:sz="18" w:space="0" w:color="E67E22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ED0CD2" w14:textId="77777777" w:rsidR="00166E39" w:rsidRDefault="00000000">
            <w:pPr>
              <w:spacing w:after="120"/>
            </w:pPr>
            <w:r>
              <w:rPr>
                <w:rFonts w:ascii="Arial" w:hAnsi="Arial" w:cs="Arial"/>
                <w:b/>
                <w:bCs/>
                <w:color w:val="E67E22"/>
                <w:sz w:val="22"/>
              </w:rPr>
              <w:t>⚠ PONTOS DE ATENÇÃO PARA A REUNIÃO COM ANDERSON</w:t>
            </w:r>
          </w:p>
          <w:p w14:paraId="3B11B459" w14:textId="77777777" w:rsidR="00166E39" w:rsidRDefault="00000000">
            <w:pPr>
              <w:spacing w:after="100"/>
            </w:pPr>
            <w:r>
              <w:rPr>
                <w:rFonts w:ascii="Arial" w:hAnsi="Arial" w:cs="Arial"/>
                <w:sz w:val="22"/>
              </w:rPr>
              <w:t>1. O CLIENTE JÁ ESTÁ PRATICAMENTE FECHADO. Anderson disse explicitamente que prefere o escritório local e que se sentiu desconfortável com a empresa de SP indicada pelo Dr. Rui. A reunião com o Dr. Leandro serve para confirmar competência técnica. Demonstrar domínio do caso e segurança é o que selará o contrato.</w:t>
            </w:r>
          </w:p>
          <w:p w14:paraId="31408EED" w14:textId="77777777" w:rsidR="00166E39" w:rsidRDefault="00000000">
            <w:pPr>
              <w:spacing w:after="100"/>
            </w:pPr>
            <w:r>
              <w:rPr>
                <w:rFonts w:ascii="Arial" w:hAnsi="Arial" w:cs="Arial"/>
                <w:sz w:val="22"/>
              </w:rPr>
              <w:lastRenderedPageBreak/>
              <w:t>2. RELAÇÃO COM O DR. RUI (FERREIRA PIRES). Anderson faz questão absoluta de não desrespeitar o Dr. Rui, que é como um tio para ele e cuida da partilha e assuntos corporativos. A abordagem deve ser de parceria: cada um na sua especialidade. Nunca desmerecer o outro escritório.</w:t>
            </w:r>
          </w:p>
          <w:p w14:paraId="14B7F6B6" w14:textId="77777777" w:rsidR="00166E39" w:rsidRDefault="00000000">
            <w:pPr>
              <w:spacing w:after="100"/>
            </w:pPr>
            <w:r>
              <w:rPr>
                <w:rFonts w:ascii="Arial" w:hAnsi="Arial" w:cs="Arial"/>
                <w:sz w:val="22"/>
              </w:rPr>
              <w:t>3. PREOCUPAÇÃO COM CREDIBILIDADE. Anderson tem receio real de que uma RJ prejudique sua reputação no mercado de genética, onde depende de relações pessoais. Abordar com sensibilidade: discutir o foro mais adequado (SP pode gerar menor exposição na região do agro) e reforçar que RJ hoje é ferramenta de gestão, não estigma.</w:t>
            </w:r>
          </w:p>
          <w:p w14:paraId="70806B12" w14:textId="77777777" w:rsidR="00166E39" w:rsidRDefault="00000000">
            <w:pPr>
              <w:spacing w:after="100"/>
            </w:pPr>
            <w:r>
              <w:rPr>
                <w:rFonts w:ascii="Arial" w:hAnsi="Arial" w:cs="Arial"/>
                <w:sz w:val="22"/>
              </w:rPr>
              <w:t>4. CLIENTE EXTREMAMENTE BEM INFORMADO. Não é produtor simples — é engenheiro, já fez loteamento, negocia com indianos e colombianos, fala de igual para igual sobre finanças. A conversa precisa ser de alto nível técnico e estratégico.</w:t>
            </w:r>
          </w:p>
          <w:p w14:paraId="09989245" w14:textId="77777777" w:rsidR="00166E39" w:rsidRDefault="00000000">
            <w:pPr>
              <w:spacing w:after="100"/>
            </w:pPr>
            <w:r>
              <w:rPr>
                <w:rFonts w:ascii="Arial" w:hAnsi="Arial" w:cs="Arial"/>
                <w:sz w:val="22"/>
              </w:rPr>
              <w:t>5. ALIENAÇÃO FIDUCIÁRIA É O PONTO MAIS SENSÍVEL. O cliente já entendeu que essa é a pior garantia para RJ. Quer sair dessa posição antes de qualquer medida. O Dr. Leandro deve explicar a estratégia de mudança de posição das garantias antes do protocolo.</w:t>
            </w:r>
          </w:p>
          <w:p w14:paraId="3D3016CA" w14:textId="77777777" w:rsidR="00166E39" w:rsidRDefault="00000000">
            <w:pPr>
              <w:spacing w:after="100"/>
            </w:pPr>
            <w:r>
              <w:rPr>
                <w:rFonts w:ascii="Arial" w:hAnsi="Arial" w:cs="Arial"/>
                <w:sz w:val="22"/>
              </w:rPr>
              <w:t>6. EXISTE UMA FRENTE MUITO MAIOR. O cliente tem pelo menos 5 outras demandas (empresa no Panamá, contratos de parceria, planejamento tributário, partilha, preparação fiscal para venda de imóvel). Se fechar a reestruturação, abre portas para cliente de longo prazo. Anderson disse: a gente vai falando de um negócio a longo prazo.</w:t>
            </w:r>
          </w:p>
          <w:p w14:paraId="78E72649" w14:textId="77777777" w:rsidR="00166E39" w:rsidRDefault="00000000">
            <w:pPr>
              <w:spacing w:after="100"/>
            </w:pPr>
            <w:r>
              <w:rPr>
                <w:rFonts w:ascii="Arial" w:hAnsi="Arial" w:cs="Arial"/>
                <w:sz w:val="22"/>
              </w:rPr>
              <w:t>7. TIMING. Anderson viaja constantemente (Colômbia, SP, Uberaba, Panamá). A reunião precisa ser conclusiva, com encaminhamentos concretos. Horário sugerido: 9h30–10h.</w:t>
            </w:r>
          </w:p>
          <w:p w14:paraId="56B4B5BB" w14:textId="77777777" w:rsidR="00166E39" w:rsidRDefault="00000000">
            <w:pPr>
              <w:spacing w:after="100"/>
            </w:pPr>
            <w:r>
              <w:rPr>
                <w:rFonts w:ascii="Arial" w:hAnsi="Arial" w:cs="Arial"/>
                <w:sz w:val="22"/>
              </w:rPr>
              <w:t>8. DOCUMENTAÇÃO. O cliente é muito organizado — possui planilhas completas, fluxo de caixa, histórico de operações. Disse que basta anexar o arquivo para alimentar o sistema de diagnóstico. Aproveitar: pedir autorização para rodar o diagnóstico já na reunião.</w:t>
            </w:r>
          </w:p>
        </w:tc>
      </w:tr>
    </w:tbl>
    <w:p w14:paraId="12951E1F" w14:textId="77777777" w:rsidR="00166E39" w:rsidRDefault="00166E39">
      <w:pPr>
        <w:spacing w:after="200"/>
      </w:pPr>
    </w:p>
    <w:p w14:paraId="7DB14EC5" w14:textId="77777777" w:rsidR="00166E39" w:rsidRDefault="00000000">
      <w:pPr>
        <w:spacing w:before="300" w:after="40"/>
        <w:jc w:val="center"/>
      </w:pPr>
      <w:r>
        <w:rPr>
          <w:rFonts w:ascii="Arial" w:hAnsi="Arial" w:cs="Arial"/>
          <w:i/>
          <w:iCs/>
          <w:color w:val="999999"/>
          <w:sz w:val="18"/>
          <w:szCs w:val="18"/>
        </w:rPr>
        <w:t>DOCUMENTO CONFIDENCIAL — USO INTERNO EXCLUSIVO</w:t>
      </w:r>
    </w:p>
    <w:p w14:paraId="1627CEA9" w14:textId="77777777" w:rsidR="00166E39" w:rsidRDefault="00000000">
      <w:pPr>
        <w:spacing w:after="200"/>
        <w:jc w:val="center"/>
      </w:pPr>
      <w:r>
        <w:rPr>
          <w:rFonts w:ascii="Arial" w:hAnsi="Arial" w:cs="Arial"/>
          <w:i/>
          <w:iCs/>
          <w:color w:val="999999"/>
          <w:sz w:val="18"/>
          <w:szCs w:val="18"/>
        </w:rPr>
        <w:t>Amaral e Melo Advogados — Jurídico no Agro</w:t>
      </w:r>
    </w:p>
    <w:p w14:paraId="102FDCE0" w14:textId="77777777" w:rsidR="00166E39" w:rsidRDefault="00000000">
      <w:pPr>
        <w:spacing w:before="360"/>
      </w:pPr>
      <w:r>
        <w:rPr>
          <w:rFonts w:ascii="Arial" w:hAnsi="Arial" w:cs="Arial"/>
          <w:b/>
          <w:bCs/>
          <w:color w:val="1B3A5C"/>
          <w:szCs w:val="24"/>
        </w:rPr>
        <w:t>INFORMAÇÕES PENDENTES</w:t>
      </w:r>
    </w:p>
    <w:p w14:paraId="173928B0" w14:textId="77777777" w:rsidR="00166E39" w:rsidRDefault="00166E39">
      <w:pPr>
        <w:pBdr>
          <w:bottom w:val="single" w:sz="6" w:space="1" w:color="C4972A"/>
        </w:pBdr>
        <w:spacing w:after="200"/>
      </w:pPr>
    </w:p>
    <w:p w14:paraId="06DA9AF8" w14:textId="77777777" w:rsidR="00166E39" w:rsidRDefault="00000000">
      <w:pPr>
        <w:spacing w:after="160"/>
      </w:pPr>
      <w:r>
        <w:rPr>
          <w:rFonts w:ascii="Arial" w:hAnsi="Arial" w:cs="Arial"/>
          <w:sz w:val="22"/>
        </w:rPr>
        <w:t>Os seguintes dados não foram obtidos na reunião inicial e devem ser solicitados na reunião de fechamento ou imediatamente após a contratação:</w:t>
      </w:r>
    </w:p>
    <w:tbl>
      <w:tblPr>
        <w:tblW w:w="10466" w:type="dxa"/>
        <w:tblLayout w:type="fixed"/>
        <w:tblLook w:val="04A0" w:firstRow="1" w:lastRow="0" w:firstColumn="1" w:lastColumn="0" w:noHBand="0" w:noVBand="1"/>
      </w:tblPr>
      <w:tblGrid>
        <w:gridCol w:w="3200"/>
        <w:gridCol w:w="7266"/>
      </w:tblGrid>
      <w:tr w:rsidR="00166E39" w14:paraId="3E71337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C3F6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lastRenderedPageBreak/>
              <w:t>CPF / CNPJ completo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559C3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Necessário para diagnóstico (consulta SERASA, CADIN, protestos, distribuições)</w:t>
            </w:r>
          </w:p>
        </w:tc>
      </w:tr>
      <w:tr w:rsidR="00166E39" w14:paraId="4907D4A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CA07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Sobrenome completo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1CB4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[A CONFIRMAR]</w:t>
            </w:r>
          </w:p>
        </w:tc>
      </w:tr>
      <w:tr w:rsidR="00166E39" w14:paraId="530A5C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69590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Detalhamento Santander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48F4C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Valores exatos, tipos de operação, garantias, taxas</w:t>
            </w:r>
          </w:p>
        </w:tc>
      </w:tr>
      <w:tr w:rsidR="00166E39" w14:paraId="54978D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9147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Contratos bancários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1FC5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Cópias de todos os contratos dos 3 bancos para revisão de cláusulas</w:t>
            </w:r>
          </w:p>
        </w:tc>
      </w:tr>
      <w:tr w:rsidR="00166E39" w14:paraId="0DAC4E7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3A5EC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Planilhas financeiras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335C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Fluxo de caixa, projeção de receitas, endividamento detalhado</w:t>
            </w:r>
          </w:p>
        </w:tc>
      </w:tr>
      <w:tr w:rsidR="00166E39" w14:paraId="4DC2B8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7F8D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Situação do irmão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BFBAC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Quais operações têm aval do irmão, cronograma de saída</w:t>
            </w:r>
          </w:p>
        </w:tc>
      </w:tr>
      <w:tr w:rsidR="00166E39" w14:paraId="74EF236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1B9F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Matrículas dos imóveis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284D8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Fazendas GO e SP — verificar ônus, hipotecas, alienações registradas</w:t>
            </w:r>
          </w:p>
        </w:tc>
      </w:tr>
      <w:tr w:rsidR="00166E39" w14:paraId="2A1D68E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D93C4" w14:textId="77777777" w:rsidR="00166E39" w:rsidRDefault="00000000">
            <w:r>
              <w:rPr>
                <w:rFonts w:ascii="Arial" w:hAnsi="Arial" w:cs="Arial"/>
                <w:b/>
                <w:bCs/>
                <w:color w:val="1B3A5C"/>
                <w:sz w:val="22"/>
              </w:rPr>
              <w:t>Regime tributário atual</w:t>
            </w:r>
          </w:p>
        </w:tc>
        <w:tc>
          <w:tcPr>
            <w:tcW w:w="7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70FE" w14:textId="77777777" w:rsidR="00166E39" w:rsidRDefault="00000000">
            <w:r>
              <w:rPr>
                <w:rFonts w:ascii="Arial" w:hAnsi="Arial" w:cs="Arial"/>
                <w:i/>
                <w:iCs/>
                <w:color w:val="999999"/>
                <w:sz w:val="22"/>
              </w:rPr>
              <w:t>Pessoa física rural ou PJ? Qual regime de apuração?</w:t>
            </w:r>
          </w:p>
        </w:tc>
      </w:tr>
    </w:tbl>
    <w:p w14:paraId="454D912D" w14:textId="77777777" w:rsidR="00955BC0" w:rsidRDefault="00955BC0"/>
    <w:sectPr w:rsidR="00955BC0" w:rsidSect="00241D06">
      <w:headerReference w:type="default" r:id="rId8"/>
      <w:footerReference w:type="default" r:id="rId9"/>
      <w:type w:val="continuous"/>
      <w:pgSz w:w="11906" w:h="16838"/>
      <w:pgMar w:top="2127" w:right="720" w:bottom="1418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F3B6" w14:textId="77777777" w:rsidR="00955BC0" w:rsidRDefault="00955BC0" w:rsidP="000112AE">
      <w:pPr>
        <w:spacing w:line="240" w:lineRule="auto"/>
      </w:pPr>
      <w:r>
        <w:separator/>
      </w:r>
    </w:p>
  </w:endnote>
  <w:endnote w:type="continuationSeparator" w:id="0">
    <w:p w14:paraId="41A40186" w14:textId="77777777" w:rsidR="00955BC0" w:rsidRDefault="00955BC0" w:rsidP="000112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6793714"/>
      <w:docPartObj>
        <w:docPartGallery w:val="Page Numbers (Bottom of Page)"/>
        <w:docPartUnique/>
      </w:docPartObj>
    </w:sdtPr>
    <w:sdtEndPr>
      <w:rPr>
        <w:b/>
        <w:i/>
        <w:sz w:val="20"/>
      </w:rPr>
    </w:sdtEndPr>
    <w:sdtContent>
      <w:p w14:paraId="6321697B" w14:textId="77777777" w:rsidR="00911077" w:rsidRPr="003A5E36" w:rsidRDefault="00911077">
        <w:pPr>
          <w:pStyle w:val="Rodap"/>
          <w:jc w:val="right"/>
          <w:rPr>
            <w:b/>
            <w:i/>
            <w:sz w:val="20"/>
          </w:rPr>
        </w:pPr>
        <w:r w:rsidRPr="003A5E36">
          <w:rPr>
            <w:b/>
            <w:i/>
            <w:sz w:val="20"/>
          </w:rPr>
          <w:fldChar w:fldCharType="begin"/>
        </w:r>
        <w:r w:rsidRPr="003A5E36">
          <w:rPr>
            <w:b/>
            <w:i/>
            <w:sz w:val="20"/>
          </w:rPr>
          <w:instrText>PAGE   \* MERGEFORMAT</w:instrText>
        </w:r>
        <w:r w:rsidRPr="003A5E36">
          <w:rPr>
            <w:b/>
            <w:i/>
            <w:sz w:val="20"/>
          </w:rPr>
          <w:fldChar w:fldCharType="separate"/>
        </w:r>
        <w:r w:rsidRPr="00B65449">
          <w:rPr>
            <w:i/>
            <w:noProof/>
            <w:sz w:val="20"/>
          </w:rPr>
          <w:t>1</w:t>
        </w:r>
        <w:r w:rsidRPr="003A5E36">
          <w:rPr>
            <w:b/>
            <w:i/>
            <w:sz w:val="20"/>
          </w:rPr>
          <w:fldChar w:fldCharType="end"/>
        </w:r>
      </w:p>
    </w:sdtContent>
  </w:sdt>
  <w:p w14:paraId="13D88D38" w14:textId="77777777" w:rsidR="00911077" w:rsidRDefault="009110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6516" w14:textId="77777777" w:rsidR="00955BC0" w:rsidRDefault="00955BC0" w:rsidP="000112AE">
      <w:pPr>
        <w:spacing w:line="240" w:lineRule="auto"/>
      </w:pPr>
      <w:r>
        <w:separator/>
      </w:r>
    </w:p>
  </w:footnote>
  <w:footnote w:type="continuationSeparator" w:id="0">
    <w:p w14:paraId="3E82A690" w14:textId="77777777" w:rsidR="00955BC0" w:rsidRDefault="00955BC0" w:rsidP="00F54B93">
      <w:pPr>
        <w:spacing w:line="240" w:lineRule="auto"/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8E38" w14:textId="77777777" w:rsidR="00241D06" w:rsidRDefault="00241D0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EE0BEB" wp14:editId="4C7C539C">
          <wp:simplePos x="0" y="0"/>
          <wp:positionH relativeFrom="page">
            <wp:align>right</wp:align>
          </wp:positionH>
          <wp:positionV relativeFrom="paragraph">
            <wp:posOffset>-439862</wp:posOffset>
          </wp:positionV>
          <wp:extent cx="7553739" cy="10684651"/>
          <wp:effectExtent l="0" t="0" r="9525" b="2540"/>
          <wp:wrapNone/>
          <wp:docPr id="1239966208" name="Imagem 1" descr="Padrão do plano de fundo  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7531432" name="Imagem 1" descr="Padrão do plano de fundo  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39" cy="106846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6F3"/>
    <w:multiLevelType w:val="hybridMultilevel"/>
    <w:tmpl w:val="ABEC22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5228"/>
    <w:multiLevelType w:val="hybridMultilevel"/>
    <w:tmpl w:val="3B64F008"/>
    <w:lvl w:ilvl="0" w:tplc="F90E51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D2755"/>
    <w:multiLevelType w:val="hybridMultilevel"/>
    <w:tmpl w:val="D62E1D60"/>
    <w:lvl w:ilvl="0" w:tplc="6DBE7424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E7D34"/>
    <w:multiLevelType w:val="hybridMultilevel"/>
    <w:tmpl w:val="985A2CF2"/>
    <w:lvl w:ilvl="0" w:tplc="C9A0938E">
      <w:start w:val="1"/>
      <w:numFmt w:val="lowerLetter"/>
      <w:pStyle w:val="SUBTTULO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C356C10"/>
    <w:multiLevelType w:val="hybridMultilevel"/>
    <w:tmpl w:val="4686FD98"/>
    <w:lvl w:ilvl="0" w:tplc="74987EF4">
      <w:start w:val="1"/>
      <w:numFmt w:val="upperRoman"/>
      <w:pStyle w:val="TTULOS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A7C6E"/>
    <w:multiLevelType w:val="multilevel"/>
    <w:tmpl w:val="B02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510A6"/>
    <w:multiLevelType w:val="hybridMultilevel"/>
    <w:tmpl w:val="BA5CE8AC"/>
    <w:lvl w:ilvl="0" w:tplc="F3A00900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336483">
    <w:abstractNumId w:val="4"/>
  </w:num>
  <w:num w:numId="2" w16cid:durableId="1927104690">
    <w:abstractNumId w:val="6"/>
  </w:num>
  <w:num w:numId="3" w16cid:durableId="1417090825">
    <w:abstractNumId w:val="2"/>
  </w:num>
  <w:num w:numId="4" w16cid:durableId="1728649394">
    <w:abstractNumId w:val="3"/>
  </w:num>
  <w:num w:numId="5" w16cid:durableId="1178034374">
    <w:abstractNumId w:val="3"/>
    <w:lvlOverride w:ilvl="0">
      <w:startOverride w:val="1"/>
    </w:lvlOverride>
  </w:num>
  <w:num w:numId="6" w16cid:durableId="875387481">
    <w:abstractNumId w:val="3"/>
    <w:lvlOverride w:ilvl="0">
      <w:startOverride w:val="1"/>
    </w:lvlOverride>
  </w:num>
  <w:num w:numId="7" w16cid:durableId="460656530">
    <w:abstractNumId w:val="3"/>
    <w:lvlOverride w:ilvl="0">
      <w:startOverride w:val="1"/>
    </w:lvlOverride>
  </w:num>
  <w:num w:numId="8" w16cid:durableId="1630670953">
    <w:abstractNumId w:val="3"/>
    <w:lvlOverride w:ilvl="0">
      <w:startOverride w:val="1"/>
    </w:lvlOverride>
  </w:num>
  <w:num w:numId="9" w16cid:durableId="1013650962">
    <w:abstractNumId w:val="3"/>
    <w:lvlOverride w:ilvl="0">
      <w:startOverride w:val="1"/>
    </w:lvlOverride>
  </w:num>
  <w:num w:numId="10" w16cid:durableId="708993186">
    <w:abstractNumId w:val="3"/>
    <w:lvlOverride w:ilvl="0">
      <w:startOverride w:val="1"/>
    </w:lvlOverride>
  </w:num>
  <w:num w:numId="11" w16cid:durableId="147482341">
    <w:abstractNumId w:val="0"/>
  </w:num>
  <w:num w:numId="12" w16cid:durableId="73939106">
    <w:abstractNumId w:val="1"/>
  </w:num>
  <w:num w:numId="13" w16cid:durableId="1055154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2AE"/>
    <w:rsid w:val="00010809"/>
    <w:rsid w:val="000112AE"/>
    <w:rsid w:val="00017B0C"/>
    <w:rsid w:val="000463BF"/>
    <w:rsid w:val="000468D0"/>
    <w:rsid w:val="000638C6"/>
    <w:rsid w:val="00076B0C"/>
    <w:rsid w:val="00094A5D"/>
    <w:rsid w:val="000E68C9"/>
    <w:rsid w:val="001011F5"/>
    <w:rsid w:val="00112C1C"/>
    <w:rsid w:val="00132F3A"/>
    <w:rsid w:val="00140DA1"/>
    <w:rsid w:val="00141F0D"/>
    <w:rsid w:val="0014404E"/>
    <w:rsid w:val="0015108E"/>
    <w:rsid w:val="00166E39"/>
    <w:rsid w:val="00213E54"/>
    <w:rsid w:val="00241D06"/>
    <w:rsid w:val="002528AE"/>
    <w:rsid w:val="0029305F"/>
    <w:rsid w:val="00293E32"/>
    <w:rsid w:val="002B4974"/>
    <w:rsid w:val="002C4470"/>
    <w:rsid w:val="002C6621"/>
    <w:rsid w:val="00311657"/>
    <w:rsid w:val="00315F91"/>
    <w:rsid w:val="003301DB"/>
    <w:rsid w:val="00395F0B"/>
    <w:rsid w:val="003A1E3D"/>
    <w:rsid w:val="003A5E36"/>
    <w:rsid w:val="003B7500"/>
    <w:rsid w:val="003C0A81"/>
    <w:rsid w:val="003C0FA6"/>
    <w:rsid w:val="003D51A3"/>
    <w:rsid w:val="003D6837"/>
    <w:rsid w:val="00404060"/>
    <w:rsid w:val="00436D60"/>
    <w:rsid w:val="004541BB"/>
    <w:rsid w:val="00461669"/>
    <w:rsid w:val="004621F9"/>
    <w:rsid w:val="00466210"/>
    <w:rsid w:val="0047612B"/>
    <w:rsid w:val="0047753B"/>
    <w:rsid w:val="00486A0E"/>
    <w:rsid w:val="004B0EE7"/>
    <w:rsid w:val="004D7DDF"/>
    <w:rsid w:val="004E7B2B"/>
    <w:rsid w:val="00515D82"/>
    <w:rsid w:val="0052783A"/>
    <w:rsid w:val="00575C7A"/>
    <w:rsid w:val="005A07D9"/>
    <w:rsid w:val="00670BE5"/>
    <w:rsid w:val="00671201"/>
    <w:rsid w:val="00687244"/>
    <w:rsid w:val="006A6874"/>
    <w:rsid w:val="006B12F6"/>
    <w:rsid w:val="006C0069"/>
    <w:rsid w:val="006C165A"/>
    <w:rsid w:val="006C2B57"/>
    <w:rsid w:val="006D0E54"/>
    <w:rsid w:val="007111C0"/>
    <w:rsid w:val="00717160"/>
    <w:rsid w:val="00725E9A"/>
    <w:rsid w:val="007659F5"/>
    <w:rsid w:val="00776A2E"/>
    <w:rsid w:val="00777672"/>
    <w:rsid w:val="00781D97"/>
    <w:rsid w:val="0079694D"/>
    <w:rsid w:val="007A1AFB"/>
    <w:rsid w:val="007B1AC5"/>
    <w:rsid w:val="007B57C8"/>
    <w:rsid w:val="007D3540"/>
    <w:rsid w:val="007D62D5"/>
    <w:rsid w:val="007F1082"/>
    <w:rsid w:val="00815E5A"/>
    <w:rsid w:val="008231ED"/>
    <w:rsid w:val="0082397D"/>
    <w:rsid w:val="00877328"/>
    <w:rsid w:val="0087750B"/>
    <w:rsid w:val="00890C34"/>
    <w:rsid w:val="008A401D"/>
    <w:rsid w:val="008C2229"/>
    <w:rsid w:val="008E61E2"/>
    <w:rsid w:val="008F11E9"/>
    <w:rsid w:val="00904EA5"/>
    <w:rsid w:val="00911077"/>
    <w:rsid w:val="00912CEF"/>
    <w:rsid w:val="009154BD"/>
    <w:rsid w:val="009232FE"/>
    <w:rsid w:val="0094369E"/>
    <w:rsid w:val="00955BC0"/>
    <w:rsid w:val="00956795"/>
    <w:rsid w:val="00960BB9"/>
    <w:rsid w:val="009D3F6B"/>
    <w:rsid w:val="009F2A20"/>
    <w:rsid w:val="00A14A46"/>
    <w:rsid w:val="00A647C8"/>
    <w:rsid w:val="00A7195F"/>
    <w:rsid w:val="00A72C88"/>
    <w:rsid w:val="00AB0B47"/>
    <w:rsid w:val="00AF7797"/>
    <w:rsid w:val="00B17F69"/>
    <w:rsid w:val="00B42508"/>
    <w:rsid w:val="00B60AF8"/>
    <w:rsid w:val="00B64594"/>
    <w:rsid w:val="00B64A17"/>
    <w:rsid w:val="00B65449"/>
    <w:rsid w:val="00B87BCC"/>
    <w:rsid w:val="00BA0653"/>
    <w:rsid w:val="00BB5CC7"/>
    <w:rsid w:val="00BC63D0"/>
    <w:rsid w:val="00BD42A6"/>
    <w:rsid w:val="00C3108E"/>
    <w:rsid w:val="00C70100"/>
    <w:rsid w:val="00C84D59"/>
    <w:rsid w:val="00CE4EEF"/>
    <w:rsid w:val="00D03356"/>
    <w:rsid w:val="00D327E8"/>
    <w:rsid w:val="00D3331B"/>
    <w:rsid w:val="00D6104D"/>
    <w:rsid w:val="00D7024C"/>
    <w:rsid w:val="00D72052"/>
    <w:rsid w:val="00DA26C2"/>
    <w:rsid w:val="00DA6750"/>
    <w:rsid w:val="00DD1D76"/>
    <w:rsid w:val="00E14A6B"/>
    <w:rsid w:val="00E23860"/>
    <w:rsid w:val="00E36741"/>
    <w:rsid w:val="00E41268"/>
    <w:rsid w:val="00E73A73"/>
    <w:rsid w:val="00E856CC"/>
    <w:rsid w:val="00E95093"/>
    <w:rsid w:val="00EA3468"/>
    <w:rsid w:val="00EB380F"/>
    <w:rsid w:val="00EC38BC"/>
    <w:rsid w:val="00EE70C8"/>
    <w:rsid w:val="00EF7A4C"/>
    <w:rsid w:val="00F03957"/>
    <w:rsid w:val="00F06F57"/>
    <w:rsid w:val="00F21DEB"/>
    <w:rsid w:val="00F4796B"/>
    <w:rsid w:val="00F54B93"/>
    <w:rsid w:val="00F62020"/>
    <w:rsid w:val="00F668ED"/>
    <w:rsid w:val="00F958EB"/>
    <w:rsid w:val="00FB653B"/>
    <w:rsid w:val="00FC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A802E"/>
  <w15:chartTrackingRefBased/>
  <w15:docId w15:val="{58CF9454-E9A6-44D3-A836-CDE481C5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B64A17"/>
    <w:pPr>
      <w:spacing w:after="0" w:line="360" w:lineRule="auto"/>
      <w:ind w:firstLine="567"/>
      <w:jc w:val="both"/>
    </w:pPr>
    <w:rPr>
      <w:rFonts w:ascii="Open Sans" w:hAnsi="Open Sans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2B49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14A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112A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12AE"/>
  </w:style>
  <w:style w:type="paragraph" w:styleId="Rodap">
    <w:name w:val="footer"/>
    <w:basedOn w:val="Normal"/>
    <w:link w:val="RodapChar"/>
    <w:autoRedefine/>
    <w:uiPriority w:val="99"/>
    <w:unhideWhenUsed/>
    <w:rsid w:val="003301DB"/>
    <w:pPr>
      <w:tabs>
        <w:tab w:val="center" w:pos="4252"/>
        <w:tab w:val="right" w:pos="8504"/>
      </w:tabs>
      <w:spacing w:line="240" w:lineRule="auto"/>
      <w:ind w:firstLine="0"/>
    </w:pPr>
    <w:rPr>
      <w:sz w:val="22"/>
    </w:rPr>
  </w:style>
  <w:style w:type="character" w:customStyle="1" w:styleId="RodapChar">
    <w:name w:val="Rodapé Char"/>
    <w:basedOn w:val="Fontepargpadro"/>
    <w:link w:val="Rodap"/>
    <w:uiPriority w:val="99"/>
    <w:rsid w:val="003301DB"/>
    <w:rPr>
      <w:rFonts w:ascii="Open Sans" w:hAnsi="Open Sans"/>
    </w:rPr>
  </w:style>
  <w:style w:type="paragraph" w:styleId="PargrafodaLista">
    <w:name w:val="List Paragraph"/>
    <w:basedOn w:val="Normal"/>
    <w:uiPriority w:val="34"/>
    <w:rsid w:val="003A5E36"/>
    <w:pPr>
      <w:ind w:left="720"/>
      <w:contextualSpacing/>
    </w:pPr>
  </w:style>
  <w:style w:type="paragraph" w:styleId="SemEspaamento">
    <w:name w:val="No Spacing"/>
    <w:aliases w:val="CITAÇÃO"/>
    <w:uiPriority w:val="1"/>
    <w:qFormat/>
    <w:rsid w:val="0015108E"/>
    <w:pPr>
      <w:spacing w:after="100" w:line="240" w:lineRule="auto"/>
      <w:ind w:left="2268" w:firstLine="709"/>
      <w:jc w:val="both"/>
    </w:pPr>
    <w:rPr>
      <w:rFonts w:ascii="Open Sans" w:hAnsi="Open Sans"/>
      <w:color w:val="262626" w:themeColor="text1" w:themeTint="D9"/>
      <w:sz w:val="20"/>
    </w:rPr>
  </w:style>
  <w:style w:type="paragraph" w:styleId="NormalWeb">
    <w:name w:val="Normal (Web)"/>
    <w:basedOn w:val="Normal"/>
    <w:uiPriority w:val="99"/>
    <w:semiHidden/>
    <w:unhideWhenUsed/>
    <w:rsid w:val="008E61E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60BB9"/>
    <w:pPr>
      <w:spacing w:line="240" w:lineRule="auto"/>
      <w:jc w:val="left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60BB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60BB9"/>
    <w:rPr>
      <w:vertAlign w:val="superscript"/>
    </w:rPr>
  </w:style>
  <w:style w:type="paragraph" w:customStyle="1" w:styleId="TTULOS">
    <w:name w:val="TÍTULOS"/>
    <w:basedOn w:val="Ttulo1"/>
    <w:next w:val="Normal"/>
    <w:link w:val="TTULOSChar"/>
    <w:autoRedefine/>
    <w:qFormat/>
    <w:rsid w:val="00B65449"/>
    <w:pPr>
      <w:numPr>
        <w:numId w:val="1"/>
      </w:numPr>
      <w:pBdr>
        <w:top w:val="single" w:sz="4" w:space="1" w:color="auto"/>
        <w:bottom w:val="single" w:sz="4" w:space="1" w:color="auto"/>
      </w:pBdr>
      <w:spacing w:before="200" w:after="200" w:line="240" w:lineRule="auto"/>
      <w:ind w:left="714" w:hanging="357"/>
      <w:contextualSpacing/>
      <w:jc w:val="left"/>
    </w:pPr>
    <w:rPr>
      <w:rFonts w:ascii="Open Sans" w:hAnsi="Open Sans"/>
      <w:b/>
      <w:color w:val="auto"/>
      <w:sz w:val="26"/>
    </w:rPr>
  </w:style>
  <w:style w:type="paragraph" w:customStyle="1" w:styleId="SUBTTULO">
    <w:name w:val="SUBTÍTULO"/>
    <w:basedOn w:val="Ttulo2"/>
    <w:next w:val="Normal"/>
    <w:link w:val="SUBTTULOChar"/>
    <w:autoRedefine/>
    <w:qFormat/>
    <w:rsid w:val="00B65449"/>
    <w:pPr>
      <w:numPr>
        <w:numId w:val="4"/>
      </w:numPr>
    </w:pPr>
    <w:rPr>
      <w:rFonts w:ascii="Open Sans" w:hAnsi="Open Sans"/>
      <w:b/>
      <w:color w:val="262626" w:themeColor="text1" w:themeTint="D9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2B4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SChar">
    <w:name w:val="TÍTULOS Char"/>
    <w:basedOn w:val="Ttulo1Char"/>
    <w:link w:val="TTULOS"/>
    <w:rsid w:val="00B65449"/>
    <w:rPr>
      <w:rFonts w:ascii="Open Sans" w:eastAsiaTheme="majorEastAsia" w:hAnsi="Open Sans" w:cstheme="majorBidi"/>
      <w:b/>
      <w:color w:val="2E74B5" w:themeColor="accent1" w:themeShade="BF"/>
      <w:sz w:val="26"/>
      <w:szCs w:val="32"/>
    </w:rPr>
  </w:style>
  <w:style w:type="paragraph" w:styleId="CabealhodoSumrio">
    <w:name w:val="TOC Heading"/>
    <w:aliases w:val="SUMÁRIO"/>
    <w:basedOn w:val="Ttulo1"/>
    <w:next w:val="Normal"/>
    <w:autoRedefine/>
    <w:uiPriority w:val="39"/>
    <w:unhideWhenUsed/>
    <w:qFormat/>
    <w:rsid w:val="00815E5A"/>
    <w:pPr>
      <w:spacing w:line="240" w:lineRule="auto"/>
      <w:ind w:firstLine="0"/>
      <w:jc w:val="center"/>
      <w:outlineLvl w:val="9"/>
    </w:pPr>
    <w:rPr>
      <w:rFonts w:ascii="Open Sans" w:hAnsi="Open Sans"/>
      <w:b/>
      <w:color w:val="262626" w:themeColor="text1" w:themeTint="D9"/>
      <w:sz w:val="2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4A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UBTTULOChar">
    <w:name w:val="SUBTÍTULO Char"/>
    <w:basedOn w:val="Ttulo2Char"/>
    <w:link w:val="SUBTTULO"/>
    <w:rsid w:val="00B65449"/>
    <w:rPr>
      <w:rFonts w:ascii="Open Sans" w:eastAsiaTheme="majorEastAsia" w:hAnsi="Open Sans" w:cstheme="majorBidi"/>
      <w:b/>
      <w:color w:val="262626" w:themeColor="text1" w:themeTint="D9"/>
      <w:sz w:val="24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010809"/>
    <w:pPr>
      <w:spacing w:before="240" w:after="120" w:line="240" w:lineRule="auto"/>
    </w:pPr>
    <w:rPr>
      <w:rFonts w:cstheme="minorHAnsi"/>
      <w:b/>
      <w:bCs/>
      <w:sz w:val="22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010809"/>
    <w:pPr>
      <w:spacing w:before="120" w:line="240" w:lineRule="auto"/>
      <w:ind w:left="240"/>
    </w:pPr>
    <w:rPr>
      <w:rFonts w:cstheme="minorHAnsi"/>
      <w:iCs/>
      <w:sz w:val="22"/>
      <w:szCs w:val="20"/>
    </w:rPr>
  </w:style>
  <w:style w:type="character" w:styleId="Hyperlink">
    <w:name w:val="Hyperlink"/>
    <w:basedOn w:val="Fontepargpadro"/>
    <w:uiPriority w:val="99"/>
    <w:unhideWhenUsed/>
    <w:rsid w:val="00BB5CC7"/>
    <w:rPr>
      <w:color w:val="0563C1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010809"/>
    <w:pPr>
      <w:spacing w:line="240" w:lineRule="auto"/>
      <w:ind w:left="480"/>
    </w:pPr>
    <w:rPr>
      <w:rFonts w:cs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6C165A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2783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783A"/>
    <w:rPr>
      <w:rFonts w:ascii="Segoe UI" w:hAnsi="Segoe UI" w:cs="Segoe U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6C165A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010809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010809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01080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010809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112C1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2C1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2C1C"/>
    <w:rPr>
      <w:rFonts w:ascii="Open Sans" w:hAnsi="Open Sa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2C1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2C1C"/>
    <w:rPr>
      <w:rFonts w:ascii="Open Sans" w:hAnsi="Open Sans"/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F62020"/>
    <w:rPr>
      <w:color w:val="954F72" w:themeColor="followedHyperlink"/>
      <w:u w:val="single"/>
    </w:rPr>
  </w:style>
  <w:style w:type="paragraph" w:customStyle="1" w:styleId="ASSINATURAS">
    <w:name w:val="ASSINATURAS"/>
    <w:basedOn w:val="Normal"/>
    <w:link w:val="ASSINATURASChar"/>
    <w:qFormat/>
    <w:rsid w:val="00132F3A"/>
    <w:pPr>
      <w:spacing w:line="240" w:lineRule="auto"/>
      <w:ind w:firstLine="0"/>
      <w:contextualSpacing/>
      <w:jc w:val="center"/>
    </w:pPr>
    <w:rPr>
      <w:b/>
    </w:rPr>
  </w:style>
  <w:style w:type="character" w:customStyle="1" w:styleId="ASSINATURASChar">
    <w:name w:val="ASSINATURAS Char"/>
    <w:basedOn w:val="Fontepargpadro"/>
    <w:link w:val="ASSINATURAS"/>
    <w:rsid w:val="00132F3A"/>
    <w:rPr>
      <w:rFonts w:ascii="Open Sans" w:hAnsi="Open Sans"/>
      <w:b/>
      <w:sz w:val="24"/>
    </w:rPr>
  </w:style>
  <w:style w:type="character" w:styleId="TextodoEspaoReservado">
    <w:name w:val="Placeholder Text"/>
    <w:basedOn w:val="Fontepargpadro"/>
    <w:uiPriority w:val="99"/>
    <w:semiHidden/>
    <w:rsid w:val="009110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0125">
          <w:marLeft w:val="0"/>
          <w:marRight w:val="-24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9180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5438">
          <w:marLeft w:val="0"/>
          <w:marRight w:val="-24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46531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1A7C40-8ECC-4531-810A-218E4BA42A63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955DF-D18C-4D2B-B0C8-43C51205A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1824</Words>
  <Characters>10328</Characters>
  <Application>Microsoft Office Word</Application>
  <DocSecurity>0</DocSecurity>
  <Lines>212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Melo</dc:creator>
  <cp:keywords/>
  <dc:description/>
  <cp:lastModifiedBy>leonardo amaral</cp:lastModifiedBy>
  <cp:revision>2</cp:revision>
  <cp:lastPrinted>2022-06-13T18:37:00Z</cp:lastPrinted>
  <dcterms:created xsi:type="dcterms:W3CDTF">2026-03-19T17:13:00Z</dcterms:created>
  <dcterms:modified xsi:type="dcterms:W3CDTF">2026-03-19T17:13:00Z</dcterms:modified>
</cp:coreProperties>
</file>