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0B806" w14:textId="455CA547" w:rsidR="008C1C75" w:rsidRPr="00101B71" w:rsidRDefault="007F24D4">
      <w:pPr>
        <w:pStyle w:val="Title"/>
      </w:pPr>
      <w:sdt>
        <w:sdtPr>
          <w:alias w:val="Title"/>
          <w:tag w:val=""/>
          <w:id w:val="726351117"/>
          <w:placeholder>
            <w:docPart w:val="ED76B93AED2E9F468F2F554B81B8AFB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C31A0" w:rsidRPr="00101B71">
            <w:t xml:space="preserve">Moving Markets: </w:t>
          </w:r>
          <w:r w:rsidR="00E21BAB" w:rsidRPr="00101B71">
            <w:t>The</w:t>
          </w:r>
          <w:r w:rsidR="006C31A0" w:rsidRPr="00101B71">
            <w:t xml:space="preserve"> Impact of ECB’s Statements on Equity Market’s Volatility</w:t>
          </w:r>
        </w:sdtContent>
      </w:sdt>
    </w:p>
    <w:p w14:paraId="29155180" w14:textId="77777777" w:rsidR="003D3788" w:rsidRPr="00101B71" w:rsidRDefault="003D3788">
      <w:pPr>
        <w:pStyle w:val="Title2"/>
      </w:pPr>
    </w:p>
    <w:p w14:paraId="5440ACA0" w14:textId="4678F329" w:rsidR="008C1C75" w:rsidRPr="00101B71" w:rsidRDefault="003D3788">
      <w:pPr>
        <w:pStyle w:val="Title2"/>
      </w:pPr>
      <w:r w:rsidRPr="00101B71">
        <w:t>Anthony Tricarico</w:t>
      </w:r>
    </w:p>
    <w:p w14:paraId="502B4613" w14:textId="77878EB1" w:rsidR="008C1C75" w:rsidRPr="00101B71" w:rsidRDefault="003D3788">
      <w:pPr>
        <w:pStyle w:val="Title2"/>
      </w:pPr>
      <w:r w:rsidRPr="00101B71">
        <w:t>EC 480: Economics and Finance Senior Seminar</w:t>
      </w:r>
    </w:p>
    <w:p w14:paraId="267A24AC" w14:textId="46CE9ECA" w:rsidR="003D3788" w:rsidRPr="00101B71" w:rsidRDefault="003D3788">
      <w:pPr>
        <w:pStyle w:val="Title2"/>
      </w:pPr>
      <w:r w:rsidRPr="00101B71">
        <w:t>Professor Adrian Stoian</w:t>
      </w:r>
    </w:p>
    <w:p w14:paraId="7FAE896A" w14:textId="4E89345C" w:rsidR="003D3788" w:rsidRPr="00101B71" w:rsidRDefault="007D4D7B" w:rsidP="003D3788">
      <w:pPr>
        <w:pStyle w:val="Title2"/>
      </w:pPr>
      <w:r w:rsidRPr="00101B71">
        <w:t>28</w:t>
      </w:r>
      <w:r w:rsidRPr="00101B71">
        <w:rPr>
          <w:vertAlign w:val="superscript"/>
        </w:rPr>
        <w:t>th</w:t>
      </w:r>
      <w:r w:rsidRPr="00101B71">
        <w:t xml:space="preserve"> April 2023</w:t>
      </w:r>
    </w:p>
    <w:p w14:paraId="00C4F1AF" w14:textId="1E7869F1" w:rsidR="003D3788" w:rsidRPr="00101B71" w:rsidRDefault="003D3788" w:rsidP="003D3788">
      <w:pPr>
        <w:pStyle w:val="Title2"/>
      </w:pPr>
    </w:p>
    <w:p w14:paraId="0C851234" w14:textId="77777777" w:rsidR="003D3788" w:rsidRPr="00101B71" w:rsidRDefault="003D3788" w:rsidP="003D3788">
      <w:pPr>
        <w:pStyle w:val="Title2"/>
      </w:pPr>
    </w:p>
    <w:p w14:paraId="72B20A06" w14:textId="77777777" w:rsidR="003D3788" w:rsidRPr="00101B71" w:rsidRDefault="003D3788">
      <w:pPr>
        <w:pStyle w:val="Title2"/>
      </w:pPr>
      <w:r w:rsidRPr="00101B71">
        <w:rPr>
          <w:noProof/>
        </w:rPr>
        <w:drawing>
          <wp:inline distT="0" distB="0" distL="0" distR="0" wp14:anchorId="1502E09C" wp14:editId="15E9DCC8">
            <wp:extent cx="1755140" cy="1800860"/>
            <wp:effectExtent l="0" t="0" r="0" b="2540"/>
            <wp:docPr id="1" name="Picture 1" descr="John Cabot University (JCU) | AAI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hn Cabot University (JCU) | AAIC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5140" cy="1800860"/>
                    </a:xfrm>
                    <a:prstGeom prst="rect">
                      <a:avLst/>
                    </a:prstGeom>
                    <a:noFill/>
                    <a:ln>
                      <a:noFill/>
                    </a:ln>
                  </pic:spPr>
                </pic:pic>
              </a:graphicData>
            </a:graphic>
          </wp:inline>
        </w:drawing>
      </w:r>
    </w:p>
    <w:p w14:paraId="5140AD7E" w14:textId="42C5BFC2" w:rsidR="003D3788" w:rsidRPr="00101B71" w:rsidRDefault="003D3788" w:rsidP="00461D86">
      <w:pPr>
        <w:pStyle w:val="Title2"/>
      </w:pPr>
      <w:r w:rsidRPr="00101B71">
        <w:t>John Cabot University</w:t>
      </w:r>
    </w:p>
    <w:p w14:paraId="300E2E65" w14:textId="0134B566" w:rsidR="003D3788" w:rsidRPr="00101B71" w:rsidRDefault="003D3788" w:rsidP="00461D86">
      <w:pPr>
        <w:pStyle w:val="Title2"/>
      </w:pPr>
      <w:r w:rsidRPr="00101B71">
        <w:t>Bachelor of Arts in Economics and Finance</w:t>
      </w:r>
    </w:p>
    <w:p w14:paraId="6E71CDBA" w14:textId="19C49175" w:rsidR="003D3788" w:rsidRPr="00101B71" w:rsidRDefault="003D3788" w:rsidP="003D3788">
      <w:pPr>
        <w:rPr>
          <w:lang w:bidi="en-GB"/>
        </w:rPr>
      </w:pPr>
      <w:r w:rsidRPr="00101B71">
        <w:fldChar w:fldCharType="begin"/>
      </w:r>
      <w:r w:rsidRPr="00101B71">
        <w:instrText xml:space="preserve"> INCLUDEPICTURE "/Users/anthony/Library/Group Containers/UBF8T346G9.ms/WebArchiveCopyPasteTempFiles/com.microsoft.Word/logo_jcu_high_res.jpg" \* MERGEFORMATINET </w:instrText>
      </w:r>
      <w:r w:rsidR="007F24D4">
        <w:fldChar w:fldCharType="separate"/>
      </w:r>
      <w:r w:rsidRPr="00101B71">
        <w:fldChar w:fldCharType="end"/>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384DEBA5" w14:textId="77777777" w:rsidR="008C1C75" w:rsidRPr="00101B71" w:rsidRDefault="00CE59D0">
          <w:pPr>
            <w:pStyle w:val="TOCHeading"/>
          </w:pPr>
          <w:r w:rsidRPr="00101B71">
            <w:rPr>
              <w:lang w:bidi="en-GB"/>
            </w:rPr>
            <w:t>Table of Contents</w:t>
          </w:r>
        </w:p>
        <w:p w14:paraId="52E995E2" w14:textId="3E017334" w:rsidR="00440918" w:rsidRDefault="00CE59D0">
          <w:pPr>
            <w:pStyle w:val="TOC1"/>
            <w:tabs>
              <w:tab w:val="right" w:leader="dot" w:pos="9016"/>
            </w:tabs>
            <w:rPr>
              <w:noProof/>
              <w:kern w:val="0"/>
              <w:lang w:eastAsia="en-GB"/>
            </w:rPr>
          </w:pPr>
          <w:r w:rsidRPr="00101B71">
            <w:rPr>
              <w:lang w:bidi="en-GB"/>
            </w:rPr>
            <w:fldChar w:fldCharType="begin"/>
          </w:r>
          <w:r w:rsidRPr="00101B71">
            <w:rPr>
              <w:lang w:bidi="en-GB"/>
            </w:rPr>
            <w:instrText xml:space="preserve"> TOC \o "1-3" \h \z \u </w:instrText>
          </w:r>
          <w:r w:rsidRPr="00101B71">
            <w:rPr>
              <w:lang w:bidi="en-GB"/>
            </w:rPr>
            <w:fldChar w:fldCharType="separate"/>
          </w:r>
          <w:hyperlink w:anchor="_Toc132643758" w:history="1">
            <w:r w:rsidR="00440918" w:rsidRPr="004D6E78">
              <w:rPr>
                <w:rStyle w:val="Hyperlink"/>
                <w:noProof/>
                <w:lang w:bidi="en-GB"/>
              </w:rPr>
              <w:t>Abstract</w:t>
            </w:r>
            <w:r w:rsidR="00440918">
              <w:rPr>
                <w:noProof/>
                <w:webHidden/>
              </w:rPr>
              <w:tab/>
            </w:r>
            <w:r w:rsidR="00440918">
              <w:rPr>
                <w:noProof/>
                <w:webHidden/>
              </w:rPr>
              <w:fldChar w:fldCharType="begin"/>
            </w:r>
            <w:r w:rsidR="00440918">
              <w:rPr>
                <w:noProof/>
                <w:webHidden/>
              </w:rPr>
              <w:instrText xml:space="preserve"> PAGEREF _Toc132643758 \h </w:instrText>
            </w:r>
            <w:r w:rsidR="00440918">
              <w:rPr>
                <w:noProof/>
                <w:webHidden/>
              </w:rPr>
            </w:r>
            <w:r w:rsidR="00440918">
              <w:rPr>
                <w:noProof/>
                <w:webHidden/>
              </w:rPr>
              <w:fldChar w:fldCharType="separate"/>
            </w:r>
            <w:r w:rsidR="00440918">
              <w:rPr>
                <w:noProof/>
                <w:webHidden/>
              </w:rPr>
              <w:t>3</w:t>
            </w:r>
            <w:r w:rsidR="00440918">
              <w:rPr>
                <w:noProof/>
                <w:webHidden/>
              </w:rPr>
              <w:fldChar w:fldCharType="end"/>
            </w:r>
          </w:hyperlink>
        </w:p>
        <w:p w14:paraId="6627E2D4" w14:textId="515BE3CC" w:rsidR="00440918" w:rsidRDefault="007F24D4">
          <w:pPr>
            <w:pStyle w:val="TOC1"/>
            <w:tabs>
              <w:tab w:val="right" w:leader="dot" w:pos="9016"/>
            </w:tabs>
            <w:rPr>
              <w:noProof/>
              <w:kern w:val="0"/>
              <w:lang w:eastAsia="en-GB"/>
            </w:rPr>
          </w:pPr>
          <w:hyperlink w:anchor="_Toc132643759" w:history="1">
            <w:r w:rsidR="00440918" w:rsidRPr="004D6E78">
              <w:rPr>
                <w:rStyle w:val="Hyperlink"/>
                <w:noProof/>
              </w:rPr>
              <w:t>Introduction and Motivation</w:t>
            </w:r>
            <w:r w:rsidR="00440918">
              <w:rPr>
                <w:noProof/>
                <w:webHidden/>
              </w:rPr>
              <w:tab/>
            </w:r>
            <w:r w:rsidR="00440918">
              <w:rPr>
                <w:noProof/>
                <w:webHidden/>
              </w:rPr>
              <w:fldChar w:fldCharType="begin"/>
            </w:r>
            <w:r w:rsidR="00440918">
              <w:rPr>
                <w:noProof/>
                <w:webHidden/>
              </w:rPr>
              <w:instrText xml:space="preserve"> PAGEREF _Toc132643759 \h </w:instrText>
            </w:r>
            <w:r w:rsidR="00440918">
              <w:rPr>
                <w:noProof/>
                <w:webHidden/>
              </w:rPr>
            </w:r>
            <w:r w:rsidR="00440918">
              <w:rPr>
                <w:noProof/>
                <w:webHidden/>
              </w:rPr>
              <w:fldChar w:fldCharType="separate"/>
            </w:r>
            <w:r w:rsidR="00440918">
              <w:rPr>
                <w:noProof/>
                <w:webHidden/>
              </w:rPr>
              <w:t>4</w:t>
            </w:r>
            <w:r w:rsidR="00440918">
              <w:rPr>
                <w:noProof/>
                <w:webHidden/>
              </w:rPr>
              <w:fldChar w:fldCharType="end"/>
            </w:r>
          </w:hyperlink>
        </w:p>
        <w:p w14:paraId="2335D627" w14:textId="5676DA2B" w:rsidR="00440918" w:rsidRDefault="007F24D4">
          <w:pPr>
            <w:pStyle w:val="TOC1"/>
            <w:tabs>
              <w:tab w:val="right" w:leader="dot" w:pos="9016"/>
            </w:tabs>
            <w:rPr>
              <w:noProof/>
              <w:kern w:val="0"/>
              <w:lang w:eastAsia="en-GB"/>
            </w:rPr>
          </w:pPr>
          <w:hyperlink w:anchor="_Toc132643760" w:history="1">
            <w:r w:rsidR="00440918" w:rsidRPr="004D6E78">
              <w:rPr>
                <w:rStyle w:val="Hyperlink"/>
                <w:noProof/>
              </w:rPr>
              <w:t>Literature Review</w:t>
            </w:r>
            <w:r w:rsidR="00440918">
              <w:rPr>
                <w:noProof/>
                <w:webHidden/>
              </w:rPr>
              <w:tab/>
            </w:r>
            <w:r w:rsidR="00440918">
              <w:rPr>
                <w:noProof/>
                <w:webHidden/>
              </w:rPr>
              <w:fldChar w:fldCharType="begin"/>
            </w:r>
            <w:r w:rsidR="00440918">
              <w:rPr>
                <w:noProof/>
                <w:webHidden/>
              </w:rPr>
              <w:instrText xml:space="preserve"> PAGEREF _Toc132643760 \h </w:instrText>
            </w:r>
            <w:r w:rsidR="00440918">
              <w:rPr>
                <w:noProof/>
                <w:webHidden/>
              </w:rPr>
            </w:r>
            <w:r w:rsidR="00440918">
              <w:rPr>
                <w:noProof/>
                <w:webHidden/>
              </w:rPr>
              <w:fldChar w:fldCharType="separate"/>
            </w:r>
            <w:r w:rsidR="00440918">
              <w:rPr>
                <w:noProof/>
                <w:webHidden/>
              </w:rPr>
              <w:t>5</w:t>
            </w:r>
            <w:r w:rsidR="00440918">
              <w:rPr>
                <w:noProof/>
                <w:webHidden/>
              </w:rPr>
              <w:fldChar w:fldCharType="end"/>
            </w:r>
          </w:hyperlink>
        </w:p>
        <w:p w14:paraId="636568AA" w14:textId="2B796734" w:rsidR="00440918" w:rsidRDefault="007F24D4">
          <w:pPr>
            <w:pStyle w:val="TOC1"/>
            <w:tabs>
              <w:tab w:val="right" w:leader="dot" w:pos="9016"/>
            </w:tabs>
            <w:rPr>
              <w:noProof/>
              <w:kern w:val="0"/>
              <w:lang w:eastAsia="en-GB"/>
            </w:rPr>
          </w:pPr>
          <w:hyperlink w:anchor="_Toc132643761" w:history="1">
            <w:r w:rsidR="00440918" w:rsidRPr="004D6E78">
              <w:rPr>
                <w:rStyle w:val="Hyperlink"/>
                <w:noProof/>
              </w:rPr>
              <w:t>Research Question and Hypotheses</w:t>
            </w:r>
            <w:r w:rsidR="00440918">
              <w:rPr>
                <w:noProof/>
                <w:webHidden/>
              </w:rPr>
              <w:tab/>
            </w:r>
            <w:r w:rsidR="00440918">
              <w:rPr>
                <w:noProof/>
                <w:webHidden/>
              </w:rPr>
              <w:fldChar w:fldCharType="begin"/>
            </w:r>
            <w:r w:rsidR="00440918">
              <w:rPr>
                <w:noProof/>
                <w:webHidden/>
              </w:rPr>
              <w:instrText xml:space="preserve"> PAGEREF _Toc132643761 \h </w:instrText>
            </w:r>
            <w:r w:rsidR="00440918">
              <w:rPr>
                <w:noProof/>
                <w:webHidden/>
              </w:rPr>
            </w:r>
            <w:r w:rsidR="00440918">
              <w:rPr>
                <w:noProof/>
                <w:webHidden/>
              </w:rPr>
              <w:fldChar w:fldCharType="separate"/>
            </w:r>
            <w:r w:rsidR="00440918">
              <w:rPr>
                <w:noProof/>
                <w:webHidden/>
              </w:rPr>
              <w:t>9</w:t>
            </w:r>
            <w:r w:rsidR="00440918">
              <w:rPr>
                <w:noProof/>
                <w:webHidden/>
              </w:rPr>
              <w:fldChar w:fldCharType="end"/>
            </w:r>
          </w:hyperlink>
        </w:p>
        <w:p w14:paraId="446D1B13" w14:textId="7E866B5E" w:rsidR="00440918" w:rsidRDefault="007F24D4">
          <w:pPr>
            <w:pStyle w:val="TOC1"/>
            <w:tabs>
              <w:tab w:val="right" w:leader="dot" w:pos="9016"/>
            </w:tabs>
            <w:rPr>
              <w:noProof/>
              <w:kern w:val="0"/>
              <w:lang w:eastAsia="en-GB"/>
            </w:rPr>
          </w:pPr>
          <w:hyperlink w:anchor="_Toc132643762" w:history="1">
            <w:r w:rsidR="00440918" w:rsidRPr="004D6E78">
              <w:rPr>
                <w:rStyle w:val="Hyperlink"/>
                <w:noProof/>
              </w:rPr>
              <w:t>Methodology and Data Sources</w:t>
            </w:r>
            <w:r w:rsidR="00440918">
              <w:rPr>
                <w:noProof/>
                <w:webHidden/>
              </w:rPr>
              <w:tab/>
            </w:r>
            <w:r w:rsidR="00440918">
              <w:rPr>
                <w:noProof/>
                <w:webHidden/>
              </w:rPr>
              <w:fldChar w:fldCharType="begin"/>
            </w:r>
            <w:r w:rsidR="00440918">
              <w:rPr>
                <w:noProof/>
                <w:webHidden/>
              </w:rPr>
              <w:instrText xml:space="preserve"> PAGEREF _Toc132643762 \h </w:instrText>
            </w:r>
            <w:r w:rsidR="00440918">
              <w:rPr>
                <w:noProof/>
                <w:webHidden/>
              </w:rPr>
            </w:r>
            <w:r w:rsidR="00440918">
              <w:rPr>
                <w:noProof/>
                <w:webHidden/>
              </w:rPr>
              <w:fldChar w:fldCharType="separate"/>
            </w:r>
            <w:r w:rsidR="00440918">
              <w:rPr>
                <w:noProof/>
                <w:webHidden/>
              </w:rPr>
              <w:t>9</w:t>
            </w:r>
            <w:r w:rsidR="00440918">
              <w:rPr>
                <w:noProof/>
                <w:webHidden/>
              </w:rPr>
              <w:fldChar w:fldCharType="end"/>
            </w:r>
          </w:hyperlink>
        </w:p>
        <w:p w14:paraId="28B46F29" w14:textId="37F1A15E" w:rsidR="00440918" w:rsidRDefault="007F24D4">
          <w:pPr>
            <w:pStyle w:val="TOC1"/>
            <w:tabs>
              <w:tab w:val="right" w:leader="dot" w:pos="9016"/>
            </w:tabs>
            <w:rPr>
              <w:noProof/>
              <w:kern w:val="0"/>
              <w:lang w:eastAsia="en-GB"/>
            </w:rPr>
          </w:pPr>
          <w:hyperlink w:anchor="_Toc132643763" w:history="1">
            <w:r w:rsidR="00440918" w:rsidRPr="004D6E78">
              <w:rPr>
                <w:rStyle w:val="Hyperlink"/>
                <w:noProof/>
              </w:rPr>
              <w:t>Description of the Variables</w:t>
            </w:r>
            <w:r w:rsidR="00440918">
              <w:rPr>
                <w:noProof/>
                <w:webHidden/>
              </w:rPr>
              <w:tab/>
            </w:r>
            <w:r w:rsidR="00440918">
              <w:rPr>
                <w:noProof/>
                <w:webHidden/>
              </w:rPr>
              <w:fldChar w:fldCharType="begin"/>
            </w:r>
            <w:r w:rsidR="00440918">
              <w:rPr>
                <w:noProof/>
                <w:webHidden/>
              </w:rPr>
              <w:instrText xml:space="preserve"> PAGEREF _Toc132643763 \h </w:instrText>
            </w:r>
            <w:r w:rsidR="00440918">
              <w:rPr>
                <w:noProof/>
                <w:webHidden/>
              </w:rPr>
            </w:r>
            <w:r w:rsidR="00440918">
              <w:rPr>
                <w:noProof/>
                <w:webHidden/>
              </w:rPr>
              <w:fldChar w:fldCharType="separate"/>
            </w:r>
            <w:r w:rsidR="00440918">
              <w:rPr>
                <w:noProof/>
                <w:webHidden/>
              </w:rPr>
              <w:t>11</w:t>
            </w:r>
            <w:r w:rsidR="00440918">
              <w:rPr>
                <w:noProof/>
                <w:webHidden/>
              </w:rPr>
              <w:fldChar w:fldCharType="end"/>
            </w:r>
          </w:hyperlink>
        </w:p>
        <w:p w14:paraId="2D1947C5" w14:textId="41ABC59D" w:rsidR="00440918" w:rsidRDefault="007F24D4">
          <w:pPr>
            <w:pStyle w:val="TOC1"/>
            <w:tabs>
              <w:tab w:val="right" w:leader="dot" w:pos="9016"/>
            </w:tabs>
            <w:rPr>
              <w:noProof/>
              <w:kern w:val="0"/>
              <w:lang w:eastAsia="en-GB"/>
            </w:rPr>
          </w:pPr>
          <w:hyperlink w:anchor="_Toc132643764" w:history="1">
            <w:r w:rsidR="00440918" w:rsidRPr="004D6E78">
              <w:rPr>
                <w:rStyle w:val="Hyperlink"/>
                <w:noProof/>
              </w:rPr>
              <w:t>Regression Analysis</w:t>
            </w:r>
            <w:r w:rsidR="00440918">
              <w:rPr>
                <w:noProof/>
                <w:webHidden/>
              </w:rPr>
              <w:tab/>
            </w:r>
            <w:r w:rsidR="00440918">
              <w:rPr>
                <w:noProof/>
                <w:webHidden/>
              </w:rPr>
              <w:fldChar w:fldCharType="begin"/>
            </w:r>
            <w:r w:rsidR="00440918">
              <w:rPr>
                <w:noProof/>
                <w:webHidden/>
              </w:rPr>
              <w:instrText xml:space="preserve"> PAGEREF _Toc132643764 \h </w:instrText>
            </w:r>
            <w:r w:rsidR="00440918">
              <w:rPr>
                <w:noProof/>
                <w:webHidden/>
              </w:rPr>
            </w:r>
            <w:r w:rsidR="00440918">
              <w:rPr>
                <w:noProof/>
                <w:webHidden/>
              </w:rPr>
              <w:fldChar w:fldCharType="separate"/>
            </w:r>
            <w:r w:rsidR="00440918">
              <w:rPr>
                <w:noProof/>
                <w:webHidden/>
              </w:rPr>
              <w:t>12</w:t>
            </w:r>
            <w:r w:rsidR="00440918">
              <w:rPr>
                <w:noProof/>
                <w:webHidden/>
              </w:rPr>
              <w:fldChar w:fldCharType="end"/>
            </w:r>
          </w:hyperlink>
        </w:p>
        <w:p w14:paraId="3DE31C2B" w14:textId="32EA0A3D" w:rsidR="00440918" w:rsidRDefault="007F24D4">
          <w:pPr>
            <w:pStyle w:val="TOC2"/>
            <w:tabs>
              <w:tab w:val="right" w:leader="dot" w:pos="9016"/>
            </w:tabs>
            <w:rPr>
              <w:noProof/>
              <w:kern w:val="0"/>
              <w:lang w:eastAsia="en-GB"/>
            </w:rPr>
          </w:pPr>
          <w:hyperlink w:anchor="_Toc132643765" w:history="1">
            <w:r w:rsidR="00440918" w:rsidRPr="004D6E78">
              <w:rPr>
                <w:rStyle w:val="Hyperlink"/>
                <w:noProof/>
              </w:rPr>
              <w:t>Preliminary Multiple Linear Models</w:t>
            </w:r>
            <w:r w:rsidR="00440918">
              <w:rPr>
                <w:noProof/>
                <w:webHidden/>
              </w:rPr>
              <w:tab/>
            </w:r>
            <w:r w:rsidR="00440918">
              <w:rPr>
                <w:noProof/>
                <w:webHidden/>
              </w:rPr>
              <w:fldChar w:fldCharType="begin"/>
            </w:r>
            <w:r w:rsidR="00440918">
              <w:rPr>
                <w:noProof/>
                <w:webHidden/>
              </w:rPr>
              <w:instrText xml:space="preserve"> PAGEREF _Toc132643765 \h </w:instrText>
            </w:r>
            <w:r w:rsidR="00440918">
              <w:rPr>
                <w:noProof/>
                <w:webHidden/>
              </w:rPr>
            </w:r>
            <w:r w:rsidR="00440918">
              <w:rPr>
                <w:noProof/>
                <w:webHidden/>
              </w:rPr>
              <w:fldChar w:fldCharType="separate"/>
            </w:r>
            <w:r w:rsidR="00440918">
              <w:rPr>
                <w:noProof/>
                <w:webHidden/>
              </w:rPr>
              <w:t>12</w:t>
            </w:r>
            <w:r w:rsidR="00440918">
              <w:rPr>
                <w:noProof/>
                <w:webHidden/>
              </w:rPr>
              <w:fldChar w:fldCharType="end"/>
            </w:r>
          </w:hyperlink>
        </w:p>
        <w:p w14:paraId="4CBC8206" w14:textId="49AD1DC3" w:rsidR="00440918" w:rsidRDefault="007F24D4">
          <w:pPr>
            <w:pStyle w:val="TOC3"/>
            <w:tabs>
              <w:tab w:val="right" w:leader="dot" w:pos="9016"/>
            </w:tabs>
            <w:rPr>
              <w:noProof/>
              <w:kern w:val="0"/>
              <w:lang w:eastAsia="en-GB"/>
            </w:rPr>
          </w:pPr>
          <w:hyperlink w:anchor="_Toc132643766" w:history="1">
            <w:r w:rsidR="00440918" w:rsidRPr="004D6E78">
              <w:rPr>
                <w:rStyle w:val="Hyperlink"/>
                <w:noProof/>
              </w:rPr>
              <w:t>Diagnostics of Preliminary Models.</w:t>
            </w:r>
            <w:r w:rsidR="00440918">
              <w:rPr>
                <w:noProof/>
                <w:webHidden/>
              </w:rPr>
              <w:tab/>
            </w:r>
            <w:r w:rsidR="00440918">
              <w:rPr>
                <w:noProof/>
                <w:webHidden/>
              </w:rPr>
              <w:fldChar w:fldCharType="begin"/>
            </w:r>
            <w:r w:rsidR="00440918">
              <w:rPr>
                <w:noProof/>
                <w:webHidden/>
              </w:rPr>
              <w:instrText xml:space="preserve"> PAGEREF _Toc132643766 \h </w:instrText>
            </w:r>
            <w:r w:rsidR="00440918">
              <w:rPr>
                <w:noProof/>
                <w:webHidden/>
              </w:rPr>
            </w:r>
            <w:r w:rsidR="00440918">
              <w:rPr>
                <w:noProof/>
                <w:webHidden/>
              </w:rPr>
              <w:fldChar w:fldCharType="separate"/>
            </w:r>
            <w:r w:rsidR="00440918">
              <w:rPr>
                <w:noProof/>
                <w:webHidden/>
              </w:rPr>
              <w:t>13</w:t>
            </w:r>
            <w:r w:rsidR="00440918">
              <w:rPr>
                <w:noProof/>
                <w:webHidden/>
              </w:rPr>
              <w:fldChar w:fldCharType="end"/>
            </w:r>
          </w:hyperlink>
        </w:p>
        <w:p w14:paraId="76D5094D" w14:textId="199D71AF" w:rsidR="00440918" w:rsidRDefault="007F24D4">
          <w:pPr>
            <w:pStyle w:val="TOC2"/>
            <w:tabs>
              <w:tab w:val="right" w:leader="dot" w:pos="9016"/>
            </w:tabs>
            <w:rPr>
              <w:noProof/>
              <w:kern w:val="0"/>
              <w:lang w:eastAsia="en-GB"/>
            </w:rPr>
          </w:pPr>
          <w:hyperlink w:anchor="_Toc132643767" w:history="1">
            <w:r w:rsidR="00440918" w:rsidRPr="004D6E78">
              <w:rPr>
                <w:rStyle w:val="Hyperlink"/>
                <w:noProof/>
              </w:rPr>
              <w:t>Final Model</w:t>
            </w:r>
            <w:r w:rsidR="00440918">
              <w:rPr>
                <w:noProof/>
                <w:webHidden/>
              </w:rPr>
              <w:tab/>
            </w:r>
            <w:r w:rsidR="00440918">
              <w:rPr>
                <w:noProof/>
                <w:webHidden/>
              </w:rPr>
              <w:fldChar w:fldCharType="begin"/>
            </w:r>
            <w:r w:rsidR="00440918">
              <w:rPr>
                <w:noProof/>
                <w:webHidden/>
              </w:rPr>
              <w:instrText xml:space="preserve"> PAGEREF _Toc132643767 \h </w:instrText>
            </w:r>
            <w:r w:rsidR="00440918">
              <w:rPr>
                <w:noProof/>
                <w:webHidden/>
              </w:rPr>
            </w:r>
            <w:r w:rsidR="00440918">
              <w:rPr>
                <w:noProof/>
                <w:webHidden/>
              </w:rPr>
              <w:fldChar w:fldCharType="separate"/>
            </w:r>
            <w:r w:rsidR="00440918">
              <w:rPr>
                <w:noProof/>
                <w:webHidden/>
              </w:rPr>
              <w:t>13</w:t>
            </w:r>
            <w:r w:rsidR="00440918">
              <w:rPr>
                <w:noProof/>
                <w:webHidden/>
              </w:rPr>
              <w:fldChar w:fldCharType="end"/>
            </w:r>
          </w:hyperlink>
        </w:p>
        <w:p w14:paraId="65D2C91B" w14:textId="28C8D546" w:rsidR="00440918" w:rsidRDefault="007F24D4">
          <w:pPr>
            <w:pStyle w:val="TOC2"/>
            <w:tabs>
              <w:tab w:val="right" w:leader="dot" w:pos="9016"/>
            </w:tabs>
            <w:rPr>
              <w:noProof/>
              <w:kern w:val="0"/>
              <w:lang w:eastAsia="en-GB"/>
            </w:rPr>
          </w:pPr>
          <w:hyperlink w:anchor="_Toc132643768" w:history="1">
            <w:r w:rsidR="00440918" w:rsidRPr="004D6E78">
              <w:rPr>
                <w:rStyle w:val="Hyperlink"/>
                <w:noProof/>
              </w:rPr>
              <w:t>Interpretation of the Regression Results</w:t>
            </w:r>
            <w:r w:rsidR="00440918">
              <w:rPr>
                <w:noProof/>
                <w:webHidden/>
              </w:rPr>
              <w:tab/>
            </w:r>
            <w:r w:rsidR="00440918">
              <w:rPr>
                <w:noProof/>
                <w:webHidden/>
              </w:rPr>
              <w:fldChar w:fldCharType="begin"/>
            </w:r>
            <w:r w:rsidR="00440918">
              <w:rPr>
                <w:noProof/>
                <w:webHidden/>
              </w:rPr>
              <w:instrText xml:space="preserve"> PAGEREF _Toc132643768 \h </w:instrText>
            </w:r>
            <w:r w:rsidR="00440918">
              <w:rPr>
                <w:noProof/>
                <w:webHidden/>
              </w:rPr>
            </w:r>
            <w:r w:rsidR="00440918">
              <w:rPr>
                <w:noProof/>
                <w:webHidden/>
              </w:rPr>
              <w:fldChar w:fldCharType="separate"/>
            </w:r>
            <w:r w:rsidR="00440918">
              <w:rPr>
                <w:noProof/>
                <w:webHidden/>
              </w:rPr>
              <w:t>13</w:t>
            </w:r>
            <w:r w:rsidR="00440918">
              <w:rPr>
                <w:noProof/>
                <w:webHidden/>
              </w:rPr>
              <w:fldChar w:fldCharType="end"/>
            </w:r>
          </w:hyperlink>
        </w:p>
        <w:p w14:paraId="6279EDA5" w14:textId="785A423D" w:rsidR="00440918" w:rsidRDefault="007F24D4">
          <w:pPr>
            <w:pStyle w:val="TOC2"/>
            <w:tabs>
              <w:tab w:val="right" w:leader="dot" w:pos="9016"/>
            </w:tabs>
            <w:rPr>
              <w:noProof/>
              <w:kern w:val="0"/>
              <w:lang w:eastAsia="en-GB"/>
            </w:rPr>
          </w:pPr>
          <w:hyperlink w:anchor="_Toc132643769" w:history="1">
            <w:r w:rsidR="00440918" w:rsidRPr="004D6E78">
              <w:rPr>
                <w:rStyle w:val="Hyperlink"/>
                <w:noProof/>
              </w:rPr>
              <w:t>Did COVID change how Statements are perceived?</w:t>
            </w:r>
            <w:r w:rsidR="00440918">
              <w:rPr>
                <w:noProof/>
                <w:webHidden/>
              </w:rPr>
              <w:tab/>
            </w:r>
            <w:r w:rsidR="00440918">
              <w:rPr>
                <w:noProof/>
                <w:webHidden/>
              </w:rPr>
              <w:fldChar w:fldCharType="begin"/>
            </w:r>
            <w:r w:rsidR="00440918">
              <w:rPr>
                <w:noProof/>
                <w:webHidden/>
              </w:rPr>
              <w:instrText xml:space="preserve"> PAGEREF _Toc132643769 \h </w:instrText>
            </w:r>
            <w:r w:rsidR="00440918">
              <w:rPr>
                <w:noProof/>
                <w:webHidden/>
              </w:rPr>
            </w:r>
            <w:r w:rsidR="00440918">
              <w:rPr>
                <w:noProof/>
                <w:webHidden/>
              </w:rPr>
              <w:fldChar w:fldCharType="separate"/>
            </w:r>
            <w:r w:rsidR="00440918">
              <w:rPr>
                <w:noProof/>
                <w:webHidden/>
              </w:rPr>
              <w:t>14</w:t>
            </w:r>
            <w:r w:rsidR="00440918">
              <w:rPr>
                <w:noProof/>
                <w:webHidden/>
              </w:rPr>
              <w:fldChar w:fldCharType="end"/>
            </w:r>
          </w:hyperlink>
        </w:p>
        <w:p w14:paraId="7A9EAECD" w14:textId="216B96B9" w:rsidR="00440918" w:rsidRDefault="007F24D4">
          <w:pPr>
            <w:pStyle w:val="TOC3"/>
            <w:tabs>
              <w:tab w:val="right" w:leader="dot" w:pos="9016"/>
            </w:tabs>
            <w:rPr>
              <w:noProof/>
              <w:kern w:val="0"/>
              <w:lang w:eastAsia="en-GB"/>
            </w:rPr>
          </w:pPr>
          <w:hyperlink w:anchor="_Toc132643770" w:history="1">
            <w:r w:rsidR="00440918" w:rsidRPr="004D6E78">
              <w:rPr>
                <w:rStyle w:val="Hyperlink"/>
                <w:noProof/>
              </w:rPr>
              <w:t>GARCH Model.</w:t>
            </w:r>
            <w:r w:rsidR="00440918">
              <w:rPr>
                <w:noProof/>
                <w:webHidden/>
              </w:rPr>
              <w:tab/>
            </w:r>
            <w:r w:rsidR="00440918">
              <w:rPr>
                <w:noProof/>
                <w:webHidden/>
              </w:rPr>
              <w:fldChar w:fldCharType="begin"/>
            </w:r>
            <w:r w:rsidR="00440918">
              <w:rPr>
                <w:noProof/>
                <w:webHidden/>
              </w:rPr>
              <w:instrText xml:space="preserve"> PAGEREF _Toc132643770 \h </w:instrText>
            </w:r>
            <w:r w:rsidR="00440918">
              <w:rPr>
                <w:noProof/>
                <w:webHidden/>
              </w:rPr>
            </w:r>
            <w:r w:rsidR="00440918">
              <w:rPr>
                <w:noProof/>
                <w:webHidden/>
              </w:rPr>
              <w:fldChar w:fldCharType="separate"/>
            </w:r>
            <w:r w:rsidR="00440918">
              <w:rPr>
                <w:noProof/>
                <w:webHidden/>
              </w:rPr>
              <w:t>15</w:t>
            </w:r>
            <w:r w:rsidR="00440918">
              <w:rPr>
                <w:noProof/>
                <w:webHidden/>
              </w:rPr>
              <w:fldChar w:fldCharType="end"/>
            </w:r>
          </w:hyperlink>
        </w:p>
        <w:p w14:paraId="34A4E2D6" w14:textId="7163981B" w:rsidR="00440918" w:rsidRDefault="007F24D4">
          <w:pPr>
            <w:pStyle w:val="TOC1"/>
            <w:tabs>
              <w:tab w:val="right" w:leader="dot" w:pos="9016"/>
            </w:tabs>
            <w:rPr>
              <w:noProof/>
              <w:kern w:val="0"/>
              <w:lang w:eastAsia="en-GB"/>
            </w:rPr>
          </w:pPr>
          <w:hyperlink w:anchor="_Toc132643771" w:history="1">
            <w:r w:rsidR="00440918" w:rsidRPr="004D6E78">
              <w:rPr>
                <w:rStyle w:val="Hyperlink"/>
                <w:noProof/>
              </w:rPr>
              <w:t>Limitations of the Study</w:t>
            </w:r>
            <w:r w:rsidR="00440918">
              <w:rPr>
                <w:noProof/>
                <w:webHidden/>
              </w:rPr>
              <w:tab/>
            </w:r>
            <w:r w:rsidR="00440918">
              <w:rPr>
                <w:noProof/>
                <w:webHidden/>
              </w:rPr>
              <w:fldChar w:fldCharType="begin"/>
            </w:r>
            <w:r w:rsidR="00440918">
              <w:rPr>
                <w:noProof/>
                <w:webHidden/>
              </w:rPr>
              <w:instrText xml:space="preserve"> PAGEREF _Toc132643771 \h </w:instrText>
            </w:r>
            <w:r w:rsidR="00440918">
              <w:rPr>
                <w:noProof/>
                <w:webHidden/>
              </w:rPr>
            </w:r>
            <w:r w:rsidR="00440918">
              <w:rPr>
                <w:noProof/>
                <w:webHidden/>
              </w:rPr>
              <w:fldChar w:fldCharType="separate"/>
            </w:r>
            <w:r w:rsidR="00440918">
              <w:rPr>
                <w:noProof/>
                <w:webHidden/>
              </w:rPr>
              <w:t>17</w:t>
            </w:r>
            <w:r w:rsidR="00440918">
              <w:rPr>
                <w:noProof/>
                <w:webHidden/>
              </w:rPr>
              <w:fldChar w:fldCharType="end"/>
            </w:r>
          </w:hyperlink>
        </w:p>
        <w:p w14:paraId="349F0907" w14:textId="75DF0D3A" w:rsidR="00440918" w:rsidRDefault="007F24D4">
          <w:pPr>
            <w:pStyle w:val="TOC1"/>
            <w:tabs>
              <w:tab w:val="right" w:leader="dot" w:pos="9016"/>
            </w:tabs>
            <w:rPr>
              <w:noProof/>
              <w:kern w:val="0"/>
              <w:lang w:eastAsia="en-GB"/>
            </w:rPr>
          </w:pPr>
          <w:hyperlink w:anchor="_Toc132643772" w:history="1">
            <w:r w:rsidR="00440918" w:rsidRPr="004D6E78">
              <w:rPr>
                <w:rStyle w:val="Hyperlink"/>
                <w:noProof/>
              </w:rPr>
              <w:t>Conclusion</w:t>
            </w:r>
            <w:r w:rsidR="00440918">
              <w:rPr>
                <w:noProof/>
                <w:webHidden/>
              </w:rPr>
              <w:tab/>
            </w:r>
            <w:r w:rsidR="00440918">
              <w:rPr>
                <w:noProof/>
                <w:webHidden/>
              </w:rPr>
              <w:fldChar w:fldCharType="begin"/>
            </w:r>
            <w:r w:rsidR="00440918">
              <w:rPr>
                <w:noProof/>
                <w:webHidden/>
              </w:rPr>
              <w:instrText xml:space="preserve"> PAGEREF _Toc132643772 \h </w:instrText>
            </w:r>
            <w:r w:rsidR="00440918">
              <w:rPr>
                <w:noProof/>
                <w:webHidden/>
              </w:rPr>
            </w:r>
            <w:r w:rsidR="00440918">
              <w:rPr>
                <w:noProof/>
                <w:webHidden/>
              </w:rPr>
              <w:fldChar w:fldCharType="separate"/>
            </w:r>
            <w:r w:rsidR="00440918">
              <w:rPr>
                <w:noProof/>
                <w:webHidden/>
              </w:rPr>
              <w:t>18</w:t>
            </w:r>
            <w:r w:rsidR="00440918">
              <w:rPr>
                <w:noProof/>
                <w:webHidden/>
              </w:rPr>
              <w:fldChar w:fldCharType="end"/>
            </w:r>
          </w:hyperlink>
        </w:p>
        <w:p w14:paraId="542A30DA" w14:textId="4670FDBD" w:rsidR="00440918" w:rsidRDefault="007F24D4">
          <w:pPr>
            <w:pStyle w:val="TOC1"/>
            <w:tabs>
              <w:tab w:val="right" w:leader="dot" w:pos="9016"/>
            </w:tabs>
            <w:rPr>
              <w:noProof/>
              <w:kern w:val="0"/>
              <w:lang w:eastAsia="en-GB"/>
            </w:rPr>
          </w:pPr>
          <w:hyperlink w:anchor="_Toc132643773" w:history="1">
            <w:r w:rsidR="00440918" w:rsidRPr="004D6E78">
              <w:rPr>
                <w:rStyle w:val="Hyperlink"/>
                <w:noProof/>
                <w:lang w:bidi="en-GB"/>
              </w:rPr>
              <w:t>References</w:t>
            </w:r>
            <w:r w:rsidR="00440918">
              <w:rPr>
                <w:noProof/>
                <w:webHidden/>
              </w:rPr>
              <w:tab/>
            </w:r>
            <w:r w:rsidR="00440918">
              <w:rPr>
                <w:noProof/>
                <w:webHidden/>
              </w:rPr>
              <w:fldChar w:fldCharType="begin"/>
            </w:r>
            <w:r w:rsidR="00440918">
              <w:rPr>
                <w:noProof/>
                <w:webHidden/>
              </w:rPr>
              <w:instrText xml:space="preserve"> PAGEREF _Toc132643773 \h </w:instrText>
            </w:r>
            <w:r w:rsidR="00440918">
              <w:rPr>
                <w:noProof/>
                <w:webHidden/>
              </w:rPr>
            </w:r>
            <w:r w:rsidR="00440918">
              <w:rPr>
                <w:noProof/>
                <w:webHidden/>
              </w:rPr>
              <w:fldChar w:fldCharType="separate"/>
            </w:r>
            <w:r w:rsidR="00440918">
              <w:rPr>
                <w:noProof/>
                <w:webHidden/>
              </w:rPr>
              <w:t>19</w:t>
            </w:r>
            <w:r w:rsidR="00440918">
              <w:rPr>
                <w:noProof/>
                <w:webHidden/>
              </w:rPr>
              <w:fldChar w:fldCharType="end"/>
            </w:r>
          </w:hyperlink>
        </w:p>
        <w:p w14:paraId="71A0F6D4" w14:textId="3E5E4BA5" w:rsidR="00440918" w:rsidRDefault="007F24D4">
          <w:pPr>
            <w:pStyle w:val="TOC1"/>
            <w:tabs>
              <w:tab w:val="right" w:leader="dot" w:pos="9016"/>
            </w:tabs>
            <w:rPr>
              <w:noProof/>
              <w:kern w:val="0"/>
              <w:lang w:eastAsia="en-GB"/>
            </w:rPr>
          </w:pPr>
          <w:hyperlink w:anchor="_Toc132643774" w:history="1">
            <w:r w:rsidR="00440918" w:rsidRPr="004D6E78">
              <w:rPr>
                <w:rStyle w:val="Hyperlink"/>
                <w:noProof/>
                <w:lang w:bidi="en-GB"/>
              </w:rPr>
              <w:t>Appendix</w:t>
            </w:r>
            <w:r w:rsidR="00440918">
              <w:rPr>
                <w:noProof/>
                <w:webHidden/>
              </w:rPr>
              <w:tab/>
            </w:r>
            <w:r w:rsidR="00440918">
              <w:rPr>
                <w:noProof/>
                <w:webHidden/>
              </w:rPr>
              <w:fldChar w:fldCharType="begin"/>
            </w:r>
            <w:r w:rsidR="00440918">
              <w:rPr>
                <w:noProof/>
                <w:webHidden/>
              </w:rPr>
              <w:instrText xml:space="preserve"> PAGEREF _Toc132643774 \h </w:instrText>
            </w:r>
            <w:r w:rsidR="00440918">
              <w:rPr>
                <w:noProof/>
                <w:webHidden/>
              </w:rPr>
            </w:r>
            <w:r w:rsidR="00440918">
              <w:rPr>
                <w:noProof/>
                <w:webHidden/>
              </w:rPr>
              <w:fldChar w:fldCharType="separate"/>
            </w:r>
            <w:r w:rsidR="00440918">
              <w:rPr>
                <w:noProof/>
                <w:webHidden/>
              </w:rPr>
              <w:t>20</w:t>
            </w:r>
            <w:r w:rsidR="00440918">
              <w:rPr>
                <w:noProof/>
                <w:webHidden/>
              </w:rPr>
              <w:fldChar w:fldCharType="end"/>
            </w:r>
          </w:hyperlink>
        </w:p>
        <w:p w14:paraId="472A28D6" w14:textId="346A2023" w:rsidR="00440918" w:rsidRDefault="007F24D4">
          <w:pPr>
            <w:pStyle w:val="TOC1"/>
            <w:tabs>
              <w:tab w:val="right" w:leader="dot" w:pos="9016"/>
            </w:tabs>
            <w:rPr>
              <w:noProof/>
              <w:kern w:val="0"/>
              <w:lang w:eastAsia="en-GB"/>
            </w:rPr>
          </w:pPr>
          <w:hyperlink w:anchor="_Toc132643775" w:history="1">
            <w:r w:rsidR="00440918" w:rsidRPr="004D6E78">
              <w:rPr>
                <w:rStyle w:val="Hyperlink"/>
                <w:noProof/>
                <w:lang w:bidi="en-GB"/>
              </w:rPr>
              <w:t>Tables</w:t>
            </w:r>
            <w:r w:rsidR="00440918">
              <w:rPr>
                <w:noProof/>
                <w:webHidden/>
              </w:rPr>
              <w:tab/>
            </w:r>
            <w:r w:rsidR="00440918">
              <w:rPr>
                <w:noProof/>
                <w:webHidden/>
              </w:rPr>
              <w:fldChar w:fldCharType="begin"/>
            </w:r>
            <w:r w:rsidR="00440918">
              <w:rPr>
                <w:noProof/>
                <w:webHidden/>
              </w:rPr>
              <w:instrText xml:space="preserve"> PAGEREF _Toc132643775 \h </w:instrText>
            </w:r>
            <w:r w:rsidR="00440918">
              <w:rPr>
                <w:noProof/>
                <w:webHidden/>
              </w:rPr>
            </w:r>
            <w:r w:rsidR="00440918">
              <w:rPr>
                <w:noProof/>
                <w:webHidden/>
              </w:rPr>
              <w:fldChar w:fldCharType="separate"/>
            </w:r>
            <w:r w:rsidR="00440918">
              <w:rPr>
                <w:noProof/>
                <w:webHidden/>
              </w:rPr>
              <w:t>20</w:t>
            </w:r>
            <w:r w:rsidR="00440918">
              <w:rPr>
                <w:noProof/>
                <w:webHidden/>
              </w:rPr>
              <w:fldChar w:fldCharType="end"/>
            </w:r>
          </w:hyperlink>
        </w:p>
        <w:p w14:paraId="376D8378" w14:textId="5DFD127E" w:rsidR="00440918" w:rsidRDefault="007F24D4">
          <w:pPr>
            <w:pStyle w:val="TOC1"/>
            <w:tabs>
              <w:tab w:val="right" w:leader="dot" w:pos="9016"/>
            </w:tabs>
            <w:rPr>
              <w:noProof/>
              <w:kern w:val="0"/>
              <w:lang w:eastAsia="en-GB"/>
            </w:rPr>
          </w:pPr>
          <w:hyperlink w:anchor="_Toc132643776" w:history="1">
            <w:r w:rsidR="00440918" w:rsidRPr="004D6E78">
              <w:rPr>
                <w:rStyle w:val="Hyperlink"/>
                <w:noProof/>
                <w:lang w:bidi="en-GB"/>
              </w:rPr>
              <w:t>Figures</w:t>
            </w:r>
            <w:r w:rsidR="00440918">
              <w:rPr>
                <w:noProof/>
                <w:webHidden/>
              </w:rPr>
              <w:tab/>
            </w:r>
            <w:r w:rsidR="00440918">
              <w:rPr>
                <w:noProof/>
                <w:webHidden/>
              </w:rPr>
              <w:fldChar w:fldCharType="begin"/>
            </w:r>
            <w:r w:rsidR="00440918">
              <w:rPr>
                <w:noProof/>
                <w:webHidden/>
              </w:rPr>
              <w:instrText xml:space="preserve"> PAGEREF _Toc132643776 \h </w:instrText>
            </w:r>
            <w:r w:rsidR="00440918">
              <w:rPr>
                <w:noProof/>
                <w:webHidden/>
              </w:rPr>
            </w:r>
            <w:r w:rsidR="00440918">
              <w:rPr>
                <w:noProof/>
                <w:webHidden/>
              </w:rPr>
              <w:fldChar w:fldCharType="separate"/>
            </w:r>
            <w:r w:rsidR="00440918">
              <w:rPr>
                <w:noProof/>
                <w:webHidden/>
              </w:rPr>
              <w:t>22</w:t>
            </w:r>
            <w:r w:rsidR="00440918">
              <w:rPr>
                <w:noProof/>
                <w:webHidden/>
              </w:rPr>
              <w:fldChar w:fldCharType="end"/>
            </w:r>
          </w:hyperlink>
        </w:p>
        <w:p w14:paraId="5DA4A3F0" w14:textId="7F595161" w:rsidR="008C1C75" w:rsidRPr="00101B71" w:rsidRDefault="00CE59D0">
          <w:pPr>
            <w:ind w:firstLine="0"/>
          </w:pPr>
          <w:r w:rsidRPr="00101B71">
            <w:rPr>
              <w:b/>
              <w:noProof/>
              <w:lang w:bidi="en-GB"/>
            </w:rPr>
            <w:fldChar w:fldCharType="end"/>
          </w:r>
        </w:p>
      </w:sdtContent>
    </w:sdt>
    <w:p w14:paraId="103207A8" w14:textId="77777777" w:rsidR="008C1C75" w:rsidRPr="00101B71" w:rsidRDefault="00CE59D0">
      <w:pPr>
        <w:pStyle w:val="SectionTitle"/>
        <w:rPr>
          <w:lang w:bidi="en-GB"/>
        </w:rPr>
      </w:pPr>
      <w:bookmarkStart w:id="0" w:name="_Toc132643758"/>
      <w:r w:rsidRPr="00101B71">
        <w:rPr>
          <w:lang w:bidi="en-GB"/>
        </w:rPr>
        <w:lastRenderedPageBreak/>
        <w:t>Abstract</w:t>
      </w:r>
      <w:bookmarkEnd w:id="0"/>
    </w:p>
    <w:p w14:paraId="6A5C66DC" w14:textId="3A682D3B" w:rsidR="008C1C75" w:rsidRPr="00101B71" w:rsidRDefault="009C1454">
      <w:pPr>
        <w:pStyle w:val="NoSpacing"/>
        <w:rPr>
          <w:lang w:bidi="en-GB"/>
        </w:rPr>
      </w:pPr>
      <w:r w:rsidRPr="00101B71">
        <w:rPr>
          <w:lang w:bidi="en-GB"/>
        </w:rPr>
        <w:t>This study analy</w:t>
      </w:r>
      <w:r w:rsidR="00A25020">
        <w:rPr>
          <w:lang w:bidi="en-GB"/>
        </w:rPr>
        <w:t>z</w:t>
      </w:r>
      <w:r w:rsidRPr="00101B71">
        <w:rPr>
          <w:lang w:bidi="en-GB"/>
        </w:rPr>
        <w:t xml:space="preserve">es the </w:t>
      </w:r>
      <w:r w:rsidR="000539BC" w:rsidRPr="00101B71">
        <w:rPr>
          <w:lang w:bidi="en-GB"/>
        </w:rPr>
        <w:t>impact</w:t>
      </w:r>
      <w:r w:rsidR="0038092C" w:rsidRPr="00101B71">
        <w:rPr>
          <w:lang w:bidi="en-GB"/>
        </w:rPr>
        <w:t xml:space="preserve"> of</w:t>
      </w:r>
      <w:r w:rsidR="000539BC" w:rsidRPr="00101B71">
        <w:rPr>
          <w:lang w:bidi="en-GB"/>
        </w:rPr>
        <w:t xml:space="preserve"> European Central Bank</w:t>
      </w:r>
      <w:r w:rsidR="00E925FF" w:rsidRPr="00101B71">
        <w:rPr>
          <w:lang w:bidi="en-GB"/>
        </w:rPr>
        <w:t>’s</w:t>
      </w:r>
      <w:r w:rsidR="000539BC" w:rsidRPr="00101B71">
        <w:rPr>
          <w:lang w:bidi="en-GB"/>
        </w:rPr>
        <w:t xml:space="preserve"> statements and surpri</w:t>
      </w:r>
      <w:r w:rsidR="00E925FF" w:rsidRPr="00101B71">
        <w:rPr>
          <w:lang w:bidi="en-GB"/>
        </w:rPr>
        <w:t>se monetary policies on the equity market’s volatility of the Eurozone</w:t>
      </w:r>
      <w:r w:rsidR="00897C5E" w:rsidRPr="00101B71">
        <w:rPr>
          <w:lang w:bidi="en-GB"/>
        </w:rPr>
        <w:t xml:space="preserve"> </w:t>
      </w:r>
      <w:r w:rsidR="0020033A" w:rsidRPr="00101B71">
        <w:rPr>
          <w:lang w:bidi="en-GB"/>
        </w:rPr>
        <w:t>using</w:t>
      </w:r>
      <w:r w:rsidR="00897C5E" w:rsidRPr="00101B71">
        <w:rPr>
          <w:lang w:bidi="en-GB"/>
        </w:rPr>
        <w:t xml:space="preserve"> data from 2015 to </w:t>
      </w:r>
      <w:r w:rsidR="0020033A" w:rsidRPr="00101B71">
        <w:rPr>
          <w:lang w:bidi="en-GB"/>
        </w:rPr>
        <w:t xml:space="preserve">Q1 </w:t>
      </w:r>
      <w:r w:rsidR="00897C5E" w:rsidRPr="00101B71">
        <w:rPr>
          <w:lang w:bidi="en-GB"/>
        </w:rPr>
        <w:t>202</w:t>
      </w:r>
      <w:r w:rsidR="0020033A" w:rsidRPr="00101B71">
        <w:rPr>
          <w:lang w:bidi="en-GB"/>
        </w:rPr>
        <w:t>3</w:t>
      </w:r>
      <w:r w:rsidR="00E925FF" w:rsidRPr="00101B71">
        <w:rPr>
          <w:lang w:bidi="en-GB"/>
        </w:rPr>
        <w:t xml:space="preserve">. </w:t>
      </w:r>
      <w:r w:rsidR="004B6641" w:rsidRPr="00101B71">
        <w:rPr>
          <w:lang w:bidi="en-GB"/>
        </w:rPr>
        <w:t>Moreover, it investigates the role of the COVID</w:t>
      </w:r>
      <w:r w:rsidR="0007166E" w:rsidRPr="00101B71">
        <w:rPr>
          <w:lang w:bidi="en-GB"/>
        </w:rPr>
        <w:t>-19</w:t>
      </w:r>
      <w:r w:rsidR="004B6641" w:rsidRPr="00101B71">
        <w:rPr>
          <w:lang w:bidi="en-GB"/>
        </w:rPr>
        <w:t xml:space="preserve"> pandemic in shaping </w:t>
      </w:r>
      <w:r w:rsidR="00E313B6" w:rsidRPr="00101B71">
        <w:rPr>
          <w:lang w:bidi="en-GB"/>
        </w:rPr>
        <w:t xml:space="preserve">investors’ perception of public information. </w:t>
      </w:r>
      <w:r w:rsidR="004B6641" w:rsidRPr="00101B71">
        <w:rPr>
          <w:lang w:bidi="en-GB"/>
        </w:rPr>
        <w:t xml:space="preserve">The main findings include a </w:t>
      </w:r>
      <w:r w:rsidR="009560B4" w:rsidRPr="00101B71">
        <w:rPr>
          <w:lang w:bidi="en-GB"/>
        </w:rPr>
        <w:t xml:space="preserve">statistically </w:t>
      </w:r>
      <w:r w:rsidR="004B6641" w:rsidRPr="00101B71">
        <w:rPr>
          <w:lang w:bidi="en-GB"/>
        </w:rPr>
        <w:t xml:space="preserve">significant </w:t>
      </w:r>
      <w:r w:rsidR="008C3C6B" w:rsidRPr="00101B71">
        <w:rPr>
          <w:lang w:bidi="en-GB"/>
        </w:rPr>
        <w:t>relationship between all variables of interest and volatility</w:t>
      </w:r>
      <w:r w:rsidR="006C29B2" w:rsidRPr="00101B71">
        <w:rPr>
          <w:lang w:bidi="en-GB"/>
        </w:rPr>
        <w:t>. A GARCH model is employed to model volatility and understand</w:t>
      </w:r>
      <w:r w:rsidR="00965E65" w:rsidRPr="00101B71">
        <w:rPr>
          <w:lang w:bidi="en-GB"/>
        </w:rPr>
        <w:t xml:space="preserve"> to which extent the pandemic period affected</w:t>
      </w:r>
      <w:r w:rsidR="00003E50" w:rsidRPr="00101B71">
        <w:rPr>
          <w:lang w:bidi="en-GB"/>
        </w:rPr>
        <w:t xml:space="preserve"> how the tone of </w:t>
      </w:r>
      <w:r w:rsidR="00BA4CAB" w:rsidRPr="00101B71">
        <w:rPr>
          <w:lang w:bidi="en-GB"/>
        </w:rPr>
        <w:t xml:space="preserve">a given statement </w:t>
      </w:r>
      <w:r w:rsidR="00AE44F6" w:rsidRPr="00101B71">
        <w:rPr>
          <w:lang w:bidi="en-GB"/>
        </w:rPr>
        <w:t xml:space="preserve">is </w:t>
      </w:r>
      <w:r w:rsidR="00231382" w:rsidRPr="00101B71">
        <w:rPr>
          <w:lang w:bidi="en-GB"/>
        </w:rPr>
        <w:t>perceived</w:t>
      </w:r>
      <w:r w:rsidR="00AE44F6" w:rsidRPr="00101B71">
        <w:rPr>
          <w:lang w:bidi="en-GB"/>
        </w:rPr>
        <w:t xml:space="preserve"> by the main actors in the equity market. </w:t>
      </w:r>
      <w:r w:rsidR="00231382" w:rsidRPr="00101B71">
        <w:rPr>
          <w:lang w:bidi="en-GB"/>
        </w:rPr>
        <w:t xml:space="preserve">The </w:t>
      </w:r>
      <w:r w:rsidR="0007166E" w:rsidRPr="00101B71">
        <w:rPr>
          <w:lang w:bidi="en-GB"/>
        </w:rPr>
        <w:t>results</w:t>
      </w:r>
      <w:r w:rsidR="00231382" w:rsidRPr="00101B71">
        <w:rPr>
          <w:lang w:bidi="en-GB"/>
        </w:rPr>
        <w:t xml:space="preserve"> suggest that COVID</w:t>
      </w:r>
      <w:r w:rsidR="0007166E" w:rsidRPr="00101B71">
        <w:rPr>
          <w:lang w:bidi="en-GB"/>
        </w:rPr>
        <w:t>-19</w:t>
      </w:r>
      <w:r w:rsidR="00231382" w:rsidRPr="00101B71">
        <w:rPr>
          <w:lang w:bidi="en-GB"/>
        </w:rPr>
        <w:t xml:space="preserve"> </w:t>
      </w:r>
      <w:r w:rsidR="008433B9" w:rsidRPr="00101B71">
        <w:rPr>
          <w:lang w:bidi="en-GB"/>
        </w:rPr>
        <w:t>exacerbated</w:t>
      </w:r>
      <w:r w:rsidR="00231382" w:rsidRPr="00101B71">
        <w:rPr>
          <w:lang w:bidi="en-GB"/>
        </w:rPr>
        <w:t xml:space="preserve"> how </w:t>
      </w:r>
      <w:r w:rsidR="00D812FC" w:rsidRPr="00101B71">
        <w:rPr>
          <w:lang w:bidi="en-GB"/>
        </w:rPr>
        <w:t xml:space="preserve">negatively </w:t>
      </w:r>
      <w:r w:rsidR="00231382" w:rsidRPr="00101B71">
        <w:rPr>
          <w:lang w:bidi="en-GB"/>
        </w:rPr>
        <w:t>statements are perceived</w:t>
      </w:r>
      <w:r w:rsidR="003C2B40">
        <w:rPr>
          <w:lang w:bidi="en-GB"/>
        </w:rPr>
        <w:t xml:space="preserve">, thus </w:t>
      </w:r>
      <w:r w:rsidR="008433B9" w:rsidRPr="00101B71">
        <w:rPr>
          <w:lang w:bidi="en-GB"/>
        </w:rPr>
        <w:t>promot</w:t>
      </w:r>
      <w:r w:rsidR="003C2B40">
        <w:rPr>
          <w:lang w:bidi="en-GB"/>
        </w:rPr>
        <w:t>ing</w:t>
      </w:r>
      <w:r w:rsidR="008433B9" w:rsidRPr="00101B71">
        <w:rPr>
          <w:lang w:bidi="en-GB"/>
        </w:rPr>
        <w:t xml:space="preserve"> more volatility in the </w:t>
      </w:r>
      <w:r w:rsidR="003C2B40">
        <w:rPr>
          <w:lang w:bidi="en-GB"/>
        </w:rPr>
        <w:t xml:space="preserve">equity </w:t>
      </w:r>
      <w:r w:rsidR="008433B9" w:rsidRPr="00101B71">
        <w:rPr>
          <w:lang w:bidi="en-GB"/>
        </w:rPr>
        <w:t>market</w:t>
      </w:r>
      <w:r w:rsidR="003C2B40">
        <w:rPr>
          <w:lang w:bidi="en-GB"/>
        </w:rPr>
        <w:t xml:space="preserve"> of the Eurozone</w:t>
      </w:r>
      <w:r w:rsidR="008433B9" w:rsidRPr="00101B71">
        <w:rPr>
          <w:lang w:bidi="en-GB"/>
        </w:rPr>
        <w:t xml:space="preserve">. </w:t>
      </w:r>
    </w:p>
    <w:p w14:paraId="75E2F3EA" w14:textId="106ECCDF" w:rsidR="00495AF8" w:rsidRPr="00101B71" w:rsidRDefault="00CE59D0">
      <w:r w:rsidRPr="00101B71">
        <w:rPr>
          <w:rStyle w:val="Emphasis"/>
          <w:lang w:bidi="en-GB"/>
        </w:rPr>
        <w:t>Keywords</w:t>
      </w:r>
      <w:r w:rsidRPr="00101B71">
        <w:rPr>
          <w:lang w:bidi="en-GB"/>
        </w:rPr>
        <w:t xml:space="preserve">: </w:t>
      </w:r>
      <w:r w:rsidR="00671A67">
        <w:t>s</w:t>
      </w:r>
      <w:r w:rsidR="002C087D" w:rsidRPr="00101B71">
        <w:t xml:space="preserve">entiment </w:t>
      </w:r>
      <w:r w:rsidR="00671A67">
        <w:t>a</w:t>
      </w:r>
      <w:r w:rsidR="002C087D" w:rsidRPr="00101B71">
        <w:t xml:space="preserve">nalysis, </w:t>
      </w:r>
      <w:r w:rsidR="00671A67">
        <w:t>c</w:t>
      </w:r>
      <w:r w:rsidR="002C087D" w:rsidRPr="00101B71">
        <w:t xml:space="preserve">entral </w:t>
      </w:r>
      <w:r w:rsidR="00671A67">
        <w:t>b</w:t>
      </w:r>
      <w:r w:rsidR="002C087D" w:rsidRPr="00101B71">
        <w:t xml:space="preserve">ank </w:t>
      </w:r>
      <w:r w:rsidR="00671A67">
        <w:t>s</w:t>
      </w:r>
      <w:r w:rsidR="002C087D" w:rsidRPr="00101B71">
        <w:t xml:space="preserve">tatements, </w:t>
      </w:r>
      <w:r w:rsidR="00671A67">
        <w:t>v</w:t>
      </w:r>
      <w:r w:rsidR="00C704D3" w:rsidRPr="00101B71">
        <w:t xml:space="preserve">olatility, </w:t>
      </w:r>
      <w:r w:rsidR="00671A67">
        <w:t>s</w:t>
      </w:r>
      <w:r w:rsidR="006735BC" w:rsidRPr="00101B71">
        <w:t xml:space="preserve">urprise </w:t>
      </w:r>
      <w:r w:rsidR="00671A67">
        <w:t>i</w:t>
      </w:r>
      <w:r w:rsidR="006735BC" w:rsidRPr="00101B71">
        <w:t xml:space="preserve">nterest </w:t>
      </w:r>
      <w:r w:rsidR="00671A67">
        <w:t>r</w:t>
      </w:r>
      <w:r w:rsidR="006735BC" w:rsidRPr="00101B71">
        <w:t xml:space="preserve">ate </w:t>
      </w:r>
      <w:r w:rsidR="00671A67">
        <w:t>c</w:t>
      </w:r>
      <w:r w:rsidR="006735BC" w:rsidRPr="00101B71">
        <w:t xml:space="preserve">hanges, </w:t>
      </w:r>
      <w:r w:rsidR="00C704D3" w:rsidRPr="00101B71">
        <w:t xml:space="preserve">GARCH </w:t>
      </w:r>
      <w:r w:rsidR="00671A67">
        <w:t>m</w:t>
      </w:r>
      <w:r w:rsidR="00C704D3" w:rsidRPr="00101B71">
        <w:t>odel</w:t>
      </w:r>
    </w:p>
    <w:p w14:paraId="0C19FADC" w14:textId="2B97200F" w:rsidR="008E04F9" w:rsidRPr="00FB6F94" w:rsidRDefault="008E04F9">
      <w:pPr>
        <w:rPr>
          <w:lang w:val="it-IT"/>
        </w:rPr>
      </w:pPr>
      <w:r w:rsidRPr="00FB6F94">
        <w:rPr>
          <w:lang w:val="it-IT"/>
        </w:rPr>
        <w:t>JEL</w:t>
      </w:r>
      <w:r w:rsidR="00EF5EFA" w:rsidRPr="00FB6F94">
        <w:rPr>
          <w:lang w:val="it-IT"/>
        </w:rPr>
        <w:t xml:space="preserve"> Classification: </w:t>
      </w:r>
      <w:r w:rsidR="00776D1B" w:rsidRPr="00FB6F94">
        <w:rPr>
          <w:lang w:val="it-IT"/>
        </w:rPr>
        <w:t xml:space="preserve">G14, </w:t>
      </w:r>
      <w:r w:rsidR="00971204" w:rsidRPr="00FB6F94">
        <w:rPr>
          <w:lang w:val="it-IT"/>
        </w:rPr>
        <w:t xml:space="preserve">G41, </w:t>
      </w:r>
      <w:r w:rsidR="00E367E5" w:rsidRPr="00FB6F94">
        <w:rPr>
          <w:lang w:val="it-IT"/>
        </w:rPr>
        <w:t>E52, E58</w:t>
      </w:r>
      <w:r w:rsidR="00F02517" w:rsidRPr="00FB6F94">
        <w:rPr>
          <w:lang w:val="it-IT"/>
        </w:rPr>
        <w:t xml:space="preserve">, </w:t>
      </w:r>
      <w:r w:rsidR="00585D04" w:rsidRPr="00FB6F94">
        <w:rPr>
          <w:lang w:val="it-IT"/>
        </w:rPr>
        <w:t>E71</w:t>
      </w:r>
    </w:p>
    <w:p w14:paraId="0EA4E07A" w14:textId="2046ECEC" w:rsidR="008C1C75" w:rsidRPr="00FB6F94" w:rsidRDefault="00495AF8" w:rsidP="00495AF8">
      <w:pPr>
        <w:rPr>
          <w:lang w:val="it-IT"/>
        </w:rPr>
      </w:pPr>
      <w:r w:rsidRPr="00FB6F94">
        <w:rPr>
          <w:lang w:val="it-IT"/>
        </w:rPr>
        <w:br w:type="page"/>
      </w:r>
    </w:p>
    <w:p w14:paraId="1EB44ABA" w14:textId="6545D478" w:rsidR="008C1C75" w:rsidRPr="00101B71" w:rsidRDefault="007F24D4" w:rsidP="00495AF8">
      <w:pPr>
        <w:ind w:firstLine="0"/>
        <w:jc w:val="center"/>
      </w:pPr>
      <w:sdt>
        <w:sdtPr>
          <w:alias w:val="Title"/>
          <w:tag w:val=""/>
          <w:id w:val="-1756435886"/>
          <w:placeholder>
            <w:docPart w:val="710855B274AA434FB497A40BE4AF1E3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21BAB" w:rsidRPr="00101B71">
            <w:t>Moving Markets: The Impact of ECB’s Statements on Equity Market’s Volatility</w:t>
          </w:r>
        </w:sdtContent>
      </w:sdt>
    </w:p>
    <w:p w14:paraId="77A5F73B" w14:textId="597B6C5F" w:rsidR="000E1930" w:rsidRPr="00101B71" w:rsidRDefault="000E1930" w:rsidP="000E1930">
      <w:pPr>
        <w:pStyle w:val="Heading1"/>
      </w:pPr>
      <w:bookmarkStart w:id="1" w:name="_Toc132643759"/>
      <w:r w:rsidRPr="00101B71">
        <w:t>Introduction and Motivation</w:t>
      </w:r>
      <w:bookmarkEnd w:id="1"/>
    </w:p>
    <w:p w14:paraId="05A378A6" w14:textId="2A2AE1EB" w:rsidR="008C1C75" w:rsidRPr="00101B71" w:rsidRDefault="003D3788" w:rsidP="00DC4EEC">
      <w:r w:rsidRPr="00101B71">
        <w:t xml:space="preserve">Understanding fluctuations in the equity market is a relevant part of </w:t>
      </w:r>
      <w:r w:rsidR="000E1930" w:rsidRPr="00101B71">
        <w:t xml:space="preserve">the job of </w:t>
      </w:r>
      <w:r w:rsidRPr="00101B71">
        <w:t xml:space="preserve">any investment analyst and, in general, of every educated investor. Considering that the rational investor always seeks strategies </w:t>
      </w:r>
      <w:r w:rsidR="00006BB7">
        <w:t xml:space="preserve">to </w:t>
      </w:r>
      <w:r w:rsidR="000E1930" w:rsidRPr="00101B71">
        <w:t>attain the highest possible profit, it is clear that they would at least try to come up with an explanation as to why the expected return of a stock is so variable and what are the factors influencing volatility. This paper tries to answer th</w:t>
      </w:r>
      <w:r w:rsidR="002F3362">
        <w:t xml:space="preserve">is </w:t>
      </w:r>
      <w:r w:rsidR="000E1930" w:rsidRPr="00101B71">
        <w:t xml:space="preserve">question and focuses on the importance that unexpected changes in monetary policy </w:t>
      </w:r>
      <w:r w:rsidR="00136103" w:rsidRPr="00101B71">
        <w:t xml:space="preserve">and </w:t>
      </w:r>
      <w:r w:rsidR="00DC4EEC" w:rsidRPr="00101B71">
        <w:t>c</w:t>
      </w:r>
      <w:r w:rsidR="00E8689F" w:rsidRPr="00101B71">
        <w:t xml:space="preserve">entral </w:t>
      </w:r>
      <w:r w:rsidR="00DC4EEC" w:rsidRPr="00101B71">
        <w:t>bank</w:t>
      </w:r>
      <w:r w:rsidR="00E8689F" w:rsidRPr="00101B71">
        <w:t xml:space="preserve"> statements </w:t>
      </w:r>
      <w:r w:rsidR="000E1930" w:rsidRPr="00101B71">
        <w:t xml:space="preserve">have on the volatility of the stock market. </w:t>
      </w:r>
      <w:r w:rsidR="00F45776" w:rsidRPr="00101B71">
        <w:t xml:space="preserve">The motivation behind it is to explore </w:t>
      </w:r>
      <w:r w:rsidR="006F2CD4" w:rsidRPr="00101B71">
        <w:t xml:space="preserve">which factors can </w:t>
      </w:r>
      <w:r w:rsidR="00515270" w:rsidRPr="00101B71">
        <w:t>be</w:t>
      </w:r>
      <w:r w:rsidR="006F2CD4" w:rsidRPr="00101B71">
        <w:t xml:space="preserve"> </w:t>
      </w:r>
      <w:r w:rsidR="00515270" w:rsidRPr="00101B71">
        <w:t xml:space="preserve">viewed as </w:t>
      </w:r>
      <w:r w:rsidR="006F2CD4" w:rsidRPr="00101B71">
        <w:t>significant predictors of higher volatility</w:t>
      </w:r>
      <w:r w:rsidR="00515270" w:rsidRPr="00101B71">
        <w:t xml:space="preserve"> and in which market circumstances they are exacerbated. The relevance and usefulness of such inquiry reside</w:t>
      </w:r>
      <w:r w:rsidR="005F6D6B" w:rsidRPr="00101B71">
        <w:t>s</w:t>
      </w:r>
      <w:r w:rsidR="00515270" w:rsidRPr="00101B71">
        <w:t xml:space="preserve"> in the possibility to unveil </w:t>
      </w:r>
      <w:r w:rsidR="00163306" w:rsidRPr="00101B71">
        <w:t xml:space="preserve">systematic responses from the equity market to events </w:t>
      </w:r>
      <w:r w:rsidR="006B2D87" w:rsidRPr="00101B71">
        <w:t xml:space="preserve">such as the public disclosure of information from a </w:t>
      </w:r>
      <w:r w:rsidR="00DC4EEC" w:rsidRPr="00101B71">
        <w:t>c</w:t>
      </w:r>
      <w:r w:rsidR="006B2D87" w:rsidRPr="00101B71">
        <w:t xml:space="preserve">entral </w:t>
      </w:r>
      <w:r w:rsidR="00DC4EEC" w:rsidRPr="00101B71">
        <w:t>b</w:t>
      </w:r>
      <w:r w:rsidR="006B2D87" w:rsidRPr="00101B71">
        <w:t>ank. The paper is</w:t>
      </w:r>
      <w:r w:rsidR="00B9627D" w:rsidRPr="00101B71">
        <w:t>,</w:t>
      </w:r>
      <w:r w:rsidR="006B2D87" w:rsidRPr="00101B71">
        <w:t xml:space="preserve"> </w:t>
      </w:r>
      <w:r w:rsidR="00B9627D" w:rsidRPr="00101B71">
        <w:t>therefore,</w:t>
      </w:r>
      <w:r w:rsidR="005F6D6B" w:rsidRPr="00101B71">
        <w:t xml:space="preserve"> </w:t>
      </w:r>
      <w:r w:rsidR="006B2D87" w:rsidRPr="00101B71">
        <w:t xml:space="preserve">focused on the analysis of the European Central Bank (ECB) and the reactions that statements issued </w:t>
      </w:r>
      <w:r w:rsidR="00BC4467" w:rsidRPr="00101B71">
        <w:t xml:space="preserve">by it </w:t>
      </w:r>
      <w:r w:rsidR="006B2D87" w:rsidRPr="00101B71">
        <w:t xml:space="preserve">cause in the </w:t>
      </w:r>
      <w:r w:rsidR="005D1225">
        <w:t>Eurozone</w:t>
      </w:r>
      <w:r w:rsidR="004A6EE4" w:rsidRPr="00101B71">
        <w:t xml:space="preserve"> equity </w:t>
      </w:r>
      <w:r w:rsidR="006B2D87" w:rsidRPr="00101B71">
        <w:t>market at a specific time. Understanding the impact of written statements</w:t>
      </w:r>
      <w:r w:rsidR="00A85CB0">
        <w:t>, given their importance when communicating</w:t>
      </w:r>
      <w:r w:rsidR="006B2D87" w:rsidRPr="00101B71">
        <w:t xml:space="preserve"> policy changes</w:t>
      </w:r>
      <w:r w:rsidR="00A85CB0">
        <w:t>,</w:t>
      </w:r>
      <w:r w:rsidR="006B2D87" w:rsidRPr="00101B71">
        <w:t xml:space="preserve"> is a fundamental part for every central bank that wants to contain the exuberance of markets</w:t>
      </w:r>
      <w:r w:rsidR="004A6EE4" w:rsidRPr="00101B71">
        <w:t xml:space="preserve">. </w:t>
      </w:r>
      <w:r w:rsidR="0090468A" w:rsidRPr="00101B71">
        <w:t>The</w:t>
      </w:r>
      <w:r w:rsidR="004A6EE4" w:rsidRPr="00101B71">
        <w:t xml:space="preserve"> </w:t>
      </w:r>
      <w:r w:rsidR="00C925F1">
        <w:t>results</w:t>
      </w:r>
      <w:r w:rsidR="004A6EE4" w:rsidRPr="00101B71">
        <w:t xml:space="preserve"> </w:t>
      </w:r>
      <w:r w:rsidR="00DC4EEC" w:rsidRPr="00101B71">
        <w:t>provided by</w:t>
      </w:r>
      <w:r w:rsidR="004A6EE4" w:rsidRPr="00101B71">
        <w:t xml:space="preserve"> a study like this can </w:t>
      </w:r>
      <w:r w:rsidR="00DC4EEC" w:rsidRPr="00101B71">
        <w:t xml:space="preserve">be </w:t>
      </w:r>
      <w:r w:rsidR="004A6EE4" w:rsidRPr="00101B71">
        <w:t>translate</w:t>
      </w:r>
      <w:r w:rsidR="00DC4EEC" w:rsidRPr="00101B71">
        <w:t xml:space="preserve">d </w:t>
      </w:r>
      <w:r w:rsidR="004A6EE4" w:rsidRPr="00101B71">
        <w:t xml:space="preserve">into a collection of best practices for central banks </w:t>
      </w:r>
      <w:r w:rsidR="00A536BE" w:rsidRPr="00101B71">
        <w:t>that can be followed</w:t>
      </w:r>
      <w:r w:rsidR="004A6EE4" w:rsidRPr="00101B71">
        <w:t xml:space="preserve"> to alleviate any undesired effect on markets. For instance, considering the cognitive limitations that every investor has and how their </w:t>
      </w:r>
      <w:r w:rsidR="00E21BAB" w:rsidRPr="00101B71">
        <w:t>rationality</w:t>
      </w:r>
      <w:r w:rsidR="004A6EE4" w:rsidRPr="00101B71">
        <w:t xml:space="preserve"> </w:t>
      </w:r>
      <w:r w:rsidR="00E21BAB" w:rsidRPr="00101B71">
        <w:t>is</w:t>
      </w:r>
      <w:r w:rsidR="004A6EE4" w:rsidRPr="00101B71">
        <w:t xml:space="preserve"> bounded by the information they possess, it would be a good practice to keep the statements as short as possible and avoid employing a tone that is too emotionally charged</w:t>
      </w:r>
      <w:r w:rsidR="0050445A" w:rsidRPr="00101B71">
        <w:t xml:space="preserve">. Kahneman (2003) discusses extensively the </w:t>
      </w:r>
      <w:r w:rsidR="006908D7" w:rsidRPr="00101B71">
        <w:t>impact</w:t>
      </w:r>
      <w:r w:rsidR="0050445A" w:rsidRPr="00101B71">
        <w:t xml:space="preserve"> </w:t>
      </w:r>
      <w:r w:rsidR="00982B43" w:rsidRPr="00101B71">
        <w:t>of how</w:t>
      </w:r>
      <w:r w:rsidR="00565A70" w:rsidRPr="00101B71">
        <w:t xml:space="preserve"> </w:t>
      </w:r>
      <w:r w:rsidR="0050445A" w:rsidRPr="00101B71">
        <w:t xml:space="preserve">information is presented </w:t>
      </w:r>
      <w:r w:rsidR="00565A70" w:rsidRPr="00101B71">
        <w:t>on how it is cognitively processed and perceived</w:t>
      </w:r>
      <w:r w:rsidR="0050445A" w:rsidRPr="00101B71">
        <w:t>.</w:t>
      </w:r>
      <w:r w:rsidR="00577BD9" w:rsidRPr="00101B71">
        <w:t xml:space="preserve"> Discussions on the most prominent </w:t>
      </w:r>
      <w:r w:rsidR="00962656" w:rsidRPr="00101B71">
        <w:t xml:space="preserve">cognitive </w:t>
      </w:r>
      <w:r w:rsidR="00577BD9" w:rsidRPr="00101B71">
        <w:t xml:space="preserve">biases have </w:t>
      </w:r>
      <w:r w:rsidR="00962656" w:rsidRPr="00101B71">
        <w:t xml:space="preserve">led behavioral economists to question the extent to which the </w:t>
      </w:r>
      <w:r w:rsidR="00962656" w:rsidRPr="00101B71">
        <w:lastRenderedPageBreak/>
        <w:t xml:space="preserve">rationality assumptions </w:t>
      </w:r>
      <w:r w:rsidR="000F679A" w:rsidRPr="00101B71">
        <w:t>used in economic theory are coherent with reality</w:t>
      </w:r>
      <w:r w:rsidR="00565A70" w:rsidRPr="00101B71">
        <w:t>.</w:t>
      </w:r>
      <w:r w:rsidR="00CD5CFF" w:rsidRPr="00101B71">
        <w:t xml:space="preserve"> For </w:t>
      </w:r>
      <w:r w:rsidR="008575D7" w:rsidRPr="00101B71">
        <w:t>example</w:t>
      </w:r>
      <w:r w:rsidR="00CD5CFF" w:rsidRPr="00101B71">
        <w:t xml:space="preserve">, </w:t>
      </w:r>
      <w:r w:rsidR="00AC57A5" w:rsidRPr="00101B71">
        <w:t xml:space="preserve">Kahneman (2003) </w:t>
      </w:r>
      <w:r w:rsidR="000473F9">
        <w:t>points out</w:t>
      </w:r>
      <w:r w:rsidR="00AC57A5" w:rsidRPr="00101B71">
        <w:t xml:space="preserve"> that most choices not only </w:t>
      </w:r>
      <w:r w:rsidR="00AB4282">
        <w:t>originate</w:t>
      </w:r>
      <w:r w:rsidR="004171BC" w:rsidRPr="00101B71">
        <w:t xml:space="preserve"> from limited information but that information can also be</w:t>
      </w:r>
      <w:r w:rsidR="007D0ABD" w:rsidRPr="00101B71">
        <w:t xml:space="preserve"> interpreted in a</w:t>
      </w:r>
      <w:r w:rsidR="004F01F9">
        <w:t xml:space="preserve"> </w:t>
      </w:r>
      <w:r w:rsidR="00207617" w:rsidRPr="00101B71">
        <w:t>misleading</w:t>
      </w:r>
      <w:r w:rsidR="007D0ABD" w:rsidRPr="00101B71">
        <w:t xml:space="preserve"> way</w:t>
      </w:r>
      <w:r w:rsidR="00CD5CFF" w:rsidRPr="00101B71">
        <w:t>.</w:t>
      </w:r>
      <w:r w:rsidR="00207617" w:rsidRPr="00101B71">
        <w:t xml:space="preserve"> Indeed, </w:t>
      </w:r>
      <w:r w:rsidR="000323BB" w:rsidRPr="00101B71">
        <w:t xml:space="preserve">it was shown how </w:t>
      </w:r>
      <w:r w:rsidR="005F73CF" w:rsidRPr="00101B71">
        <w:t xml:space="preserve">more salient stimuli are remembered and retrieved more </w:t>
      </w:r>
      <w:r w:rsidR="00EA465B" w:rsidRPr="00101B71">
        <w:t xml:space="preserve">easily </w:t>
      </w:r>
      <w:r w:rsidR="001807CE" w:rsidRPr="00101B71">
        <w:t>compared to their less emotional counterpart</w:t>
      </w:r>
      <w:r w:rsidR="00207617" w:rsidRPr="00101B71">
        <w:t>.</w:t>
      </w:r>
      <w:r w:rsidR="001257C8" w:rsidRPr="00101B71">
        <w:t xml:space="preserve"> Therefore, it would be </w:t>
      </w:r>
      <w:r w:rsidR="00331A9F" w:rsidRPr="00101B71">
        <w:t xml:space="preserve">coherent to assume that rationality principles do not hold well when </w:t>
      </w:r>
      <w:r w:rsidR="00A56C42" w:rsidRPr="00101B71">
        <w:t xml:space="preserve">the available information is </w:t>
      </w:r>
      <w:r w:rsidR="00C83A3D" w:rsidRPr="00101B71">
        <w:t xml:space="preserve">communicated </w:t>
      </w:r>
      <w:r w:rsidR="00A029AF" w:rsidRPr="00101B71">
        <w:t xml:space="preserve">in an emotionally charged fashion. Such approach </w:t>
      </w:r>
      <w:r w:rsidR="0011146D">
        <w:t xml:space="preserve">runs the </w:t>
      </w:r>
      <w:r w:rsidR="00667BC2" w:rsidRPr="00101B71">
        <w:t>risk</w:t>
      </w:r>
      <w:r w:rsidR="0011146D">
        <w:t xml:space="preserve"> </w:t>
      </w:r>
      <w:r w:rsidR="002C03AD">
        <w:t>of</w:t>
      </w:r>
      <w:r w:rsidR="00667BC2" w:rsidRPr="00101B71">
        <w:t xml:space="preserve"> mak</w:t>
      </w:r>
      <w:r w:rsidR="002C03AD">
        <w:t xml:space="preserve">ing </w:t>
      </w:r>
      <w:r w:rsidR="00667BC2" w:rsidRPr="00101B71">
        <w:t xml:space="preserve">readers disregard </w:t>
      </w:r>
      <w:r w:rsidR="00CF6C70" w:rsidRPr="00101B71">
        <w:t xml:space="preserve">the underlying meaning of </w:t>
      </w:r>
      <w:r w:rsidR="00EA465B" w:rsidRPr="00101B71">
        <w:t xml:space="preserve">the communication and promote impulsive responses. </w:t>
      </w:r>
      <w:r w:rsidR="00DC5E32" w:rsidRPr="00101B71">
        <w:t xml:space="preserve">Most importantly, studies </w:t>
      </w:r>
      <w:r w:rsidR="00CD5CFF" w:rsidRPr="00101B71">
        <w:t xml:space="preserve">have </w:t>
      </w:r>
      <w:r w:rsidR="00DC5E32" w:rsidRPr="00101B71">
        <w:t xml:space="preserve">shown how </w:t>
      </w:r>
      <w:r w:rsidR="00602BE3" w:rsidRPr="00101B71">
        <w:t>exogenous shocks inducing fears in markets can lead to</w:t>
      </w:r>
      <w:r w:rsidR="00EA465B" w:rsidRPr="00101B71">
        <w:t xml:space="preserve"> severe</w:t>
      </w:r>
      <w:r w:rsidR="00EE6CE7" w:rsidRPr="00101B71">
        <w:t>ly adverse choices</w:t>
      </w:r>
      <w:r w:rsidR="003A2DC0" w:rsidRPr="00101B71">
        <w:t xml:space="preserve"> that </w:t>
      </w:r>
      <w:r w:rsidR="00BF4E52" w:rsidRPr="00101B71">
        <w:t>challenge</w:t>
      </w:r>
      <w:r w:rsidR="00D31781" w:rsidRPr="00101B71">
        <w:t xml:space="preserve"> any possible rational explanation</w:t>
      </w:r>
      <w:r w:rsidR="00CF47EE" w:rsidRPr="00101B71">
        <w:t xml:space="preserve"> </w:t>
      </w:r>
      <w:r w:rsidR="006F171F" w:rsidRPr="00101B71">
        <w:t>(Ortmann et al., 2020)</w:t>
      </w:r>
      <w:r w:rsidR="006503FC" w:rsidRPr="00101B71">
        <w:t>.</w:t>
      </w:r>
      <w:r w:rsidR="0050445A" w:rsidRPr="00101B71">
        <w:t xml:space="preserve"> </w:t>
      </w:r>
      <w:r w:rsidR="006B608D">
        <w:t>For this reason, the current study will include a section devoted entirely to how COVID</w:t>
      </w:r>
      <w:r w:rsidR="00DE4F2C">
        <w:t>-19</w:t>
      </w:r>
      <w:r w:rsidR="006B608D">
        <w:t xml:space="preserve"> affected market participants’ perception of </w:t>
      </w:r>
      <w:r w:rsidR="005A5187">
        <w:t xml:space="preserve">ECB’s statements. </w:t>
      </w:r>
      <w:r w:rsidR="00BC01DF" w:rsidRPr="00101B71">
        <w:t xml:space="preserve"> </w:t>
      </w:r>
    </w:p>
    <w:p w14:paraId="2FD8E70C" w14:textId="21F19D5D" w:rsidR="004D3449" w:rsidRPr="00101B71" w:rsidRDefault="004D3449" w:rsidP="004D3449">
      <w:pPr>
        <w:pStyle w:val="Heading1"/>
      </w:pPr>
      <w:bookmarkStart w:id="2" w:name="_Toc132643760"/>
      <w:r w:rsidRPr="00101B71">
        <w:t>Literature Review</w:t>
      </w:r>
      <w:bookmarkEnd w:id="2"/>
    </w:p>
    <w:p w14:paraId="4D2EC1FD" w14:textId="5FE7C814" w:rsidR="004D3449" w:rsidRPr="00101B71" w:rsidRDefault="004D3449" w:rsidP="004D3449">
      <w:r w:rsidRPr="00101B71">
        <w:t>The topic of central bank’s statement and disclosure of public information has been studied by many</w:t>
      </w:r>
      <w:r w:rsidR="00E21BAB" w:rsidRPr="00101B71">
        <w:t>,</w:t>
      </w:r>
      <w:r w:rsidRPr="00101B71">
        <w:t xml:space="preserve"> especially after observing that the role of central banks started to become less independent from governments. Previous studies included considerations on the timing of central bank’s statement, the divergence between </w:t>
      </w:r>
      <w:r w:rsidR="004E5D1A" w:rsidRPr="00101B71">
        <w:t xml:space="preserve">private and public information, how long it takes to incorporate newly issued information into </w:t>
      </w:r>
      <w:r w:rsidR="0001379E">
        <w:t>asset</w:t>
      </w:r>
      <w:r w:rsidR="004E5D1A" w:rsidRPr="00101B71">
        <w:t xml:space="preserve"> prices, and the effect of unexpected changes in monetary policies on equity markets. In this section, the main findings from this vast body of literature will be summarized to explain and highlight some of the components that are important for </w:t>
      </w:r>
      <w:r w:rsidR="00E21BAB" w:rsidRPr="00101B71">
        <w:t>the current</w:t>
      </w:r>
      <w:r w:rsidR="004E5D1A" w:rsidRPr="00101B71">
        <w:t xml:space="preserve"> study. </w:t>
      </w:r>
    </w:p>
    <w:p w14:paraId="7152C7D7" w14:textId="6A644001" w:rsidR="00727AA8" w:rsidRPr="00101B71" w:rsidRDefault="004E5D1A" w:rsidP="004D3449">
      <w:r w:rsidRPr="00101B71">
        <w:t xml:space="preserve">Amato and collaborators (2002) studied the effects of newly issued public information and how it affects both market participants’ reactions and expectations as well as impacting the market for private information. They explain that </w:t>
      </w:r>
      <w:r w:rsidR="0023531F" w:rsidRPr="00101B71">
        <w:t xml:space="preserve">public information </w:t>
      </w:r>
      <w:r w:rsidR="00E21BAB" w:rsidRPr="00101B71">
        <w:t>is attached</w:t>
      </w:r>
      <w:r w:rsidR="0023531F" w:rsidRPr="00101B71">
        <w:t xml:space="preserve"> a </w:t>
      </w:r>
      <w:r w:rsidR="00E21BAB" w:rsidRPr="00101B71">
        <w:t xml:space="preserve">heavier weight </w:t>
      </w:r>
      <w:r w:rsidR="0023531F" w:rsidRPr="00101B71">
        <w:t xml:space="preserve">when it comes to influencing expectations compared to private information. It follows </w:t>
      </w:r>
      <w:r w:rsidR="0023531F" w:rsidRPr="00101B71">
        <w:lastRenderedPageBreak/>
        <w:t>that central banks have enough leverage to sway the opinion</w:t>
      </w:r>
      <w:r w:rsidR="00E21BAB" w:rsidRPr="00101B71">
        <w:t>s</w:t>
      </w:r>
      <w:r w:rsidR="0023531F" w:rsidRPr="00101B71">
        <w:t xml:space="preserve"> of markets; but with that comes a great responsibility as also real and </w:t>
      </w:r>
      <w:r w:rsidR="0023531F" w:rsidRPr="00101B71">
        <w:rPr>
          <w:i/>
          <w:iCs/>
        </w:rPr>
        <w:t xml:space="preserve">perceived </w:t>
      </w:r>
      <w:r w:rsidR="0023531F" w:rsidRPr="00101B71">
        <w:t xml:space="preserve">errors will be largely amplified when absorbed by market participants. This calls for the need of a decision-making structure that </w:t>
      </w:r>
      <w:r w:rsidR="00724D8E">
        <w:t>allows</w:t>
      </w:r>
      <w:r w:rsidR="0023531F" w:rsidRPr="00101B71">
        <w:t xml:space="preserve"> central banks</w:t>
      </w:r>
      <w:r w:rsidR="00601D79">
        <w:t xml:space="preserve"> to</w:t>
      </w:r>
      <w:r w:rsidR="0023531F" w:rsidRPr="00101B71">
        <w:t xml:space="preserve"> be as transparent as possible while not flooding the markets with unnecessary or ambiguous information. Committing errors under the form of disclosing ambiguous information comes at the cost of inefficiencies in the adjustment of the market’s long-run expectations, thus directly diminishing the efficacy of </w:t>
      </w:r>
      <w:r w:rsidR="007C208E" w:rsidRPr="00101B71">
        <w:t xml:space="preserve">monetary policies. </w:t>
      </w:r>
      <w:r w:rsidR="00707881" w:rsidRPr="00101B71">
        <w:t>At the same time</w:t>
      </w:r>
      <w:r w:rsidR="007C208E" w:rsidRPr="00101B71">
        <w:t xml:space="preserve">, given the smaller weight that private information holds in forecasting future outcomes, such information undergoes a process of devaluation which leads fewer and fewer people to rely on this data, especially if it is costly to acquire. </w:t>
      </w:r>
    </w:p>
    <w:p w14:paraId="38A39B5E" w14:textId="57F51C7D" w:rsidR="004E5D1A" w:rsidRPr="00101B71" w:rsidRDefault="007C208E" w:rsidP="004D3449">
      <w:r w:rsidRPr="00101B71">
        <w:t xml:space="preserve">However, perverse effects can still arise in the moment when actors’ previous expectations are not reflected 1-to-1 in monetary policies. In his 2001 paper, Kuttner puts forth </w:t>
      </w:r>
      <w:r w:rsidR="00ED22D7" w:rsidRPr="00101B71">
        <w:t xml:space="preserve">a technique to decompose the interest rate change into its expected and unexpected components. The technique he proposes is quite simple and is employing short-term interest rate futures to measure the expectations of the market. </w:t>
      </w:r>
    </w:p>
    <w:p w14:paraId="6AD37236" w14:textId="15D792BF" w:rsidR="00ED22D7" w:rsidRPr="00101B71" w:rsidRDefault="00ED22D7" w:rsidP="00A80D46">
      <w:pPr>
        <w:keepNext/>
        <w:rPr>
          <w:i/>
        </w:rPr>
      </w:pPr>
      <m:oMathPara>
        <m:oMathParaPr>
          <m:jc m:val="center"/>
        </m:oMathParaPr>
        <m:oMath>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u</m:t>
              </m:r>
            </m:sup>
          </m:sSub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m-t</m:t>
              </m:r>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s,t</m:t>
              </m:r>
            </m:sub>
            <m:sup>
              <m:r>
                <w:rPr>
                  <w:rFonts w:ascii="Cambria Math" w:hAnsi="Cambria Math"/>
                </w:rPr>
                <m:t>0</m:t>
              </m:r>
            </m:sup>
          </m:sSubSup>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s,t-1</m:t>
              </m:r>
            </m:sub>
            <m:sup>
              <m:r>
                <w:rPr>
                  <w:rFonts w:ascii="Cambria Math" w:hAnsi="Cambria Math"/>
                </w:rPr>
                <m:t>0</m:t>
              </m:r>
            </m:sup>
          </m:sSubSup>
          <m:r>
            <w:rPr>
              <w:rFonts w:ascii="Cambria Math" w:hAnsi="Cambria Math"/>
            </w:rPr>
            <m:t>)</m:t>
          </m:r>
        </m:oMath>
      </m:oMathPara>
    </w:p>
    <w:p w14:paraId="1620E9C1" w14:textId="671724BF" w:rsidR="00A80D46" w:rsidRPr="00101B71" w:rsidRDefault="00A80D46" w:rsidP="00A80D46">
      <w:pPr>
        <w:pStyle w:val="Caption"/>
        <w:jc w:val="center"/>
      </w:pPr>
      <w:r w:rsidRPr="00101B71">
        <w:t xml:space="preserve">Equation </w:t>
      </w:r>
      <w:r w:rsidR="007F24D4">
        <w:fldChar w:fldCharType="begin"/>
      </w:r>
      <w:r w:rsidR="007F24D4">
        <w:instrText xml:space="preserve"> SEQ Equation \* ARABIC </w:instrText>
      </w:r>
      <w:r w:rsidR="007F24D4">
        <w:fldChar w:fldCharType="separate"/>
      </w:r>
      <w:r w:rsidRPr="00101B71">
        <w:rPr>
          <w:noProof/>
        </w:rPr>
        <w:t>1</w:t>
      </w:r>
      <w:r w:rsidR="007F24D4">
        <w:rPr>
          <w:noProof/>
        </w:rPr>
        <w:fldChar w:fldCharType="end"/>
      </w:r>
      <w:r w:rsidR="006A4983" w:rsidRPr="00101B71">
        <w:rPr>
          <w:noProof/>
        </w:rPr>
        <w:t>:</w:t>
      </w:r>
      <w:r w:rsidRPr="00101B71">
        <w:t xml:space="preserve"> Decomposition of Unexpected Interest Rate Change with Daily Data</w:t>
      </w:r>
    </w:p>
    <w:p w14:paraId="1D686420" w14:textId="6A01B918" w:rsidR="00C97FA5" w:rsidRPr="00101B71" w:rsidRDefault="00ED22D7" w:rsidP="00727AA8">
      <w:pPr>
        <w:ind w:firstLine="0"/>
        <w:rPr>
          <w:iCs/>
        </w:rPr>
      </w:pPr>
      <w:r w:rsidRPr="00101B71">
        <w:rPr>
          <w:iCs/>
        </w:rPr>
        <w:t xml:space="preserve">According to this </w:t>
      </w:r>
      <w:r w:rsidR="00E21BAB" w:rsidRPr="00101B71">
        <w:rPr>
          <w:iCs/>
        </w:rPr>
        <w:t>equation</w:t>
      </w:r>
      <w:r w:rsidRPr="00101B71">
        <w:rPr>
          <w:iCs/>
        </w:rPr>
        <w:t xml:space="preserve">, the unexpected component of monetary policy changes </w:t>
      </w:r>
      <w:r w:rsidR="00D04B5D" w:rsidRPr="00101B71">
        <w:rPr>
          <w:iCs/>
        </w:rPr>
        <w:t>(</w:t>
      </w:r>
      <m:oMath>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u</m:t>
            </m:r>
          </m:sup>
        </m:sSubSup>
        <m:r>
          <w:rPr>
            <w:rFonts w:ascii="Cambria Math" w:hAnsi="Cambria Math"/>
          </w:rPr>
          <m:t>)</m:t>
        </m:r>
      </m:oMath>
      <w:r w:rsidR="00D04B5D" w:rsidRPr="00101B71">
        <w:t xml:space="preserve"> </w:t>
      </w:r>
      <w:r w:rsidRPr="00101B71">
        <w:rPr>
          <w:iCs/>
        </w:rPr>
        <w:t xml:space="preserve">is the difference between the future-implied </w:t>
      </w:r>
      <w:r w:rsidR="00D04B5D" w:rsidRPr="00101B71">
        <w:rPr>
          <w:iCs/>
        </w:rPr>
        <w:t xml:space="preserve">interest rate in month </w:t>
      </w:r>
      <w:r w:rsidR="00D04B5D" w:rsidRPr="00101B71">
        <w:rPr>
          <w:i/>
        </w:rPr>
        <w:t>s</w:t>
      </w:r>
      <w:r w:rsidR="00D04B5D" w:rsidRPr="00101B71">
        <w:rPr>
          <w:iCs/>
        </w:rPr>
        <w:t xml:space="preserve"> on the day of the event (</w:t>
      </w:r>
      <w:r w:rsidR="00D04B5D" w:rsidRPr="00101B71">
        <w:rPr>
          <w:i/>
        </w:rPr>
        <w:t>t</w:t>
      </w:r>
      <w:r w:rsidR="00D04B5D" w:rsidRPr="00101B71">
        <w:rPr>
          <w:iCs/>
        </w:rPr>
        <w:t>) and the previous day (</w:t>
      </w:r>
      <w:r w:rsidR="00D04B5D" w:rsidRPr="00101B71">
        <w:rPr>
          <w:i/>
        </w:rPr>
        <w:t>t-1</w:t>
      </w:r>
      <w:r w:rsidR="00D04B5D" w:rsidRPr="00101B71">
        <w:rPr>
          <w:iCs/>
        </w:rPr>
        <w:t xml:space="preserve">). The factor multiplying this difference can be interpreted as a scaling factor necessary to reflect the number of days remaining in the month that are affected by the change. </w:t>
      </w:r>
      <w:r w:rsidR="00CC7EA3" w:rsidRPr="00101B71">
        <w:rPr>
          <w:iCs/>
        </w:rPr>
        <w:t xml:space="preserve">Briefly, using this decomposition, the results pointed at a strong correlation between the surprise component and market interest rates, concluding that unforeseen policies have a larger magnitude in shaping interest rates at longer maturities. </w:t>
      </w:r>
    </w:p>
    <w:p w14:paraId="2B807F68" w14:textId="747B4742" w:rsidR="00C97FA5" w:rsidRPr="00101B71" w:rsidRDefault="00C97FA5" w:rsidP="00727AA8">
      <w:pPr>
        <w:ind w:firstLine="0"/>
        <w:rPr>
          <w:iCs/>
        </w:rPr>
      </w:pPr>
      <w:r w:rsidRPr="00101B71">
        <w:rPr>
          <w:iCs/>
        </w:rPr>
        <w:lastRenderedPageBreak/>
        <w:tab/>
        <w:t>Kuttner’s analysis was also proposed in other studies that went beyond the</w:t>
      </w:r>
      <w:r w:rsidR="00C477B1" w:rsidRPr="00101B71">
        <w:rPr>
          <w:iCs/>
        </w:rPr>
        <w:t xml:space="preserve"> bond market and analyzed the equity market. Bernanke and Kuttner (2005) tried to understand the mechanisms through which the equity market reacted to FED’s policy by employing both daily and monthly data. For the purpose of this paper, the rationale behind the monthly analysis will be explained more in-depth</w:t>
      </w:r>
      <w:r w:rsidR="00F30E53" w:rsidRPr="00101B71">
        <w:rPr>
          <w:iCs/>
        </w:rPr>
        <w:t>,</w:t>
      </w:r>
      <w:r w:rsidR="00C477B1" w:rsidRPr="00101B71">
        <w:rPr>
          <w:iCs/>
        </w:rPr>
        <w:t xml:space="preserve"> but it suffices to say that it </w:t>
      </w:r>
      <w:r w:rsidR="00952E84" w:rsidRPr="00101B71">
        <w:rPr>
          <w:iCs/>
        </w:rPr>
        <w:t>has</w:t>
      </w:r>
      <w:r w:rsidR="00C477B1" w:rsidRPr="00101B71">
        <w:rPr>
          <w:iCs/>
        </w:rPr>
        <w:t xml:space="preserve"> the </w:t>
      </w:r>
      <w:r w:rsidR="00952E84" w:rsidRPr="00101B71">
        <w:rPr>
          <w:iCs/>
        </w:rPr>
        <w:t xml:space="preserve">same </w:t>
      </w:r>
      <w:r w:rsidR="00C477B1" w:rsidRPr="00101B71">
        <w:rPr>
          <w:iCs/>
        </w:rPr>
        <w:t xml:space="preserve">power to </w:t>
      </w:r>
      <w:r w:rsidR="00F30E53" w:rsidRPr="00101B71">
        <w:rPr>
          <w:iCs/>
        </w:rPr>
        <w:t xml:space="preserve">detect effects that the daily framework has. </w:t>
      </w:r>
      <w:r w:rsidR="0016494E" w:rsidRPr="00101B71">
        <w:rPr>
          <w:iCs/>
        </w:rPr>
        <w:t>With monthly data, the surprise component is isolated in a similar way to daily data. The decomposition is as follows:</w:t>
      </w:r>
    </w:p>
    <w:p w14:paraId="686B5DC4" w14:textId="2B5155BB" w:rsidR="0016494E" w:rsidRPr="00101B71" w:rsidRDefault="0016494E" w:rsidP="00A80D46">
      <w:pPr>
        <w:keepNext/>
        <w:ind w:firstLine="0"/>
        <w:rPr>
          <w:iCs/>
        </w:rPr>
      </w:pPr>
      <m:oMathPara>
        <m:oMath>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u</m:t>
              </m:r>
            </m:sup>
          </m:sSub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D</m:t>
              </m:r>
            </m:den>
          </m:f>
          <m:nary>
            <m:naryPr>
              <m:chr m:val="∑"/>
              <m:limLoc m:val="undOvr"/>
              <m:ctrlPr>
                <w:rPr>
                  <w:rFonts w:ascii="Cambria Math" w:hAnsi="Cambria Math"/>
                  <w:i/>
                  <w:iCs/>
                </w:rPr>
              </m:ctrlPr>
            </m:naryPr>
            <m:sub>
              <m:r>
                <w:rPr>
                  <w:rFonts w:ascii="Cambria Math" w:hAnsi="Cambria Math"/>
                </w:rPr>
                <m:t>d=1</m:t>
              </m:r>
            </m:sub>
            <m:sup>
              <m:r>
                <w:rPr>
                  <w:rFonts w:ascii="Cambria Math" w:hAnsi="Cambria Math"/>
                </w:rPr>
                <m:t>D</m:t>
              </m:r>
            </m:sup>
            <m:e>
              <m:sSub>
                <m:sSubPr>
                  <m:ctrlPr>
                    <w:rPr>
                      <w:rFonts w:ascii="Cambria Math" w:hAnsi="Cambria Math"/>
                      <w:i/>
                      <w:iCs/>
                    </w:rPr>
                  </m:ctrlPr>
                </m:sSubPr>
                <m:e>
                  <m:r>
                    <w:rPr>
                      <w:rFonts w:ascii="Cambria Math" w:hAnsi="Cambria Math"/>
                    </w:rPr>
                    <m:t>r</m:t>
                  </m:r>
                </m:e>
                <m:sub>
                  <m:r>
                    <w:rPr>
                      <w:rFonts w:ascii="Cambria Math" w:hAnsi="Cambria Math"/>
                    </w:rPr>
                    <m:t>t,d</m:t>
                  </m:r>
                </m:sub>
              </m:sSub>
              <m:r>
                <w:rPr>
                  <w:rFonts w:ascii="Cambria Math" w:hAnsi="Cambria Math"/>
                </w:rPr>
                <m:t>-</m:t>
              </m:r>
              <m:sSubSup>
                <m:sSubSupPr>
                  <m:ctrlPr>
                    <w:rPr>
                      <w:rFonts w:ascii="Cambria Math" w:hAnsi="Cambria Math"/>
                      <w:i/>
                      <w:iCs/>
                    </w:rPr>
                  </m:ctrlPr>
                </m:sSubSupPr>
                <m:e>
                  <m:r>
                    <w:rPr>
                      <w:rFonts w:ascii="Cambria Math" w:hAnsi="Cambria Math"/>
                    </w:rPr>
                    <m:t>f</m:t>
                  </m:r>
                </m:e>
                <m:sub>
                  <m:r>
                    <w:rPr>
                      <w:rFonts w:ascii="Cambria Math" w:hAnsi="Cambria Math"/>
                    </w:rPr>
                    <m:t>t-1, D</m:t>
                  </m:r>
                </m:sub>
                <m:sup>
                  <m:r>
                    <w:rPr>
                      <w:rFonts w:ascii="Cambria Math" w:hAnsi="Cambria Math"/>
                    </w:rPr>
                    <m:t>1</m:t>
                  </m:r>
                </m:sup>
              </m:sSubSup>
            </m:e>
          </m:nary>
        </m:oMath>
      </m:oMathPara>
    </w:p>
    <w:p w14:paraId="28A12ACC" w14:textId="57C6221A" w:rsidR="00A80D46" w:rsidRPr="00101B71" w:rsidRDefault="00A80D46" w:rsidP="00A80D46">
      <w:pPr>
        <w:pStyle w:val="Caption"/>
        <w:jc w:val="center"/>
      </w:pPr>
      <w:r w:rsidRPr="00101B71">
        <w:t xml:space="preserve">Equation </w:t>
      </w:r>
      <w:r w:rsidR="007F24D4">
        <w:fldChar w:fldCharType="begin"/>
      </w:r>
      <w:r w:rsidR="007F24D4">
        <w:instrText xml:space="preserve"> SEQ Equation \* ARABIC </w:instrText>
      </w:r>
      <w:r w:rsidR="007F24D4">
        <w:fldChar w:fldCharType="separate"/>
      </w:r>
      <w:r w:rsidRPr="00101B71">
        <w:rPr>
          <w:noProof/>
        </w:rPr>
        <w:t>2</w:t>
      </w:r>
      <w:r w:rsidR="007F24D4">
        <w:rPr>
          <w:noProof/>
        </w:rPr>
        <w:fldChar w:fldCharType="end"/>
      </w:r>
      <w:r w:rsidR="006A4983" w:rsidRPr="00101B71">
        <w:rPr>
          <w:noProof/>
        </w:rPr>
        <w:t>:</w:t>
      </w:r>
      <w:r w:rsidRPr="00101B71">
        <w:t xml:space="preserve"> Decomposition of Unexpected Change in Interest Rates with Monthly Data</w:t>
      </w:r>
    </w:p>
    <w:p w14:paraId="6A52B741" w14:textId="5DC5AE9F" w:rsidR="0016494E" w:rsidRPr="00101B71" w:rsidRDefault="0016494E" w:rsidP="00727AA8">
      <w:pPr>
        <w:ind w:firstLine="0"/>
        <w:rPr>
          <w:iCs/>
        </w:rPr>
      </w:pPr>
      <w:r w:rsidRPr="00101B71">
        <w:rPr>
          <w:iCs/>
        </w:rPr>
        <w:t xml:space="preserve">The interpretation here can also be </w:t>
      </w:r>
      <w:r w:rsidR="00E03773" w:rsidRPr="00101B71">
        <w:rPr>
          <w:iCs/>
        </w:rPr>
        <w:t>provided</w:t>
      </w:r>
      <w:r w:rsidRPr="00101B71">
        <w:rPr>
          <w:iCs/>
        </w:rPr>
        <w:t xml:space="preserve"> in a </w:t>
      </w:r>
      <w:r w:rsidR="00E03773" w:rsidRPr="00101B71">
        <w:rPr>
          <w:iCs/>
        </w:rPr>
        <w:t>straightforward</w:t>
      </w:r>
      <w:r w:rsidRPr="00101B71">
        <w:rPr>
          <w:iCs/>
        </w:rPr>
        <w:t xml:space="preserve"> manner: the average of the short-term interest rate </w:t>
      </w:r>
      <w:r w:rsidRPr="00101B71">
        <w:rPr>
          <w:i/>
        </w:rPr>
        <w:t>r</w:t>
      </w:r>
      <w:r w:rsidRPr="00101B71">
        <w:rPr>
          <w:iCs/>
        </w:rPr>
        <w:t xml:space="preserve"> over month </w:t>
      </w:r>
      <w:r w:rsidRPr="00101B71">
        <w:rPr>
          <w:i/>
        </w:rPr>
        <w:t xml:space="preserve">t </w:t>
      </w:r>
      <w:r w:rsidRPr="00101B71">
        <w:rPr>
          <w:iCs/>
        </w:rPr>
        <w:t xml:space="preserve">should be </w:t>
      </w:r>
      <w:r w:rsidR="00D44BBD" w:rsidRPr="00101B71">
        <w:rPr>
          <w:iCs/>
        </w:rPr>
        <w:t xml:space="preserve">the </w:t>
      </w:r>
      <w:r w:rsidRPr="00101B71">
        <w:rPr>
          <w:iCs/>
        </w:rPr>
        <w:t xml:space="preserve">correct price of the futures contract for month </w:t>
      </w:r>
      <w:r w:rsidRPr="00101B71">
        <w:rPr>
          <w:i/>
        </w:rPr>
        <w:t>t</w:t>
      </w:r>
      <w:r w:rsidRPr="00101B71">
        <w:rPr>
          <w:iCs/>
        </w:rPr>
        <w:t xml:space="preserve">, by computing the difference with the actual price on the last day </w:t>
      </w:r>
      <w:r w:rsidRPr="00101B71">
        <w:rPr>
          <w:i/>
        </w:rPr>
        <w:t>D</w:t>
      </w:r>
      <w:r w:rsidRPr="00101B71">
        <w:rPr>
          <w:iCs/>
        </w:rPr>
        <w:t xml:space="preserve"> of the previous month </w:t>
      </w:r>
      <w:r w:rsidRPr="00101B71">
        <w:rPr>
          <w:i/>
        </w:rPr>
        <w:t>t-1</w:t>
      </w:r>
      <w:r w:rsidR="00E21BAB" w:rsidRPr="00101B71">
        <w:rPr>
          <w:iCs/>
        </w:rPr>
        <w:t xml:space="preserve">, </w:t>
      </w:r>
      <w:r w:rsidRPr="00101B71">
        <w:rPr>
          <w:iCs/>
        </w:rPr>
        <w:t xml:space="preserve">it is possible to get a grasp of the </w:t>
      </w:r>
      <w:r w:rsidR="00E03773" w:rsidRPr="00101B71">
        <w:rPr>
          <w:iCs/>
        </w:rPr>
        <w:t xml:space="preserve">unexpected component of monetary policies. This operationalization </w:t>
      </w:r>
      <w:r w:rsidR="0057668F" w:rsidRPr="00101B71">
        <w:rPr>
          <w:iCs/>
        </w:rPr>
        <w:t xml:space="preserve">of the surprise component of monetary policies is </w:t>
      </w:r>
      <w:r w:rsidR="00E21BAB" w:rsidRPr="00101B71">
        <w:rPr>
          <w:iCs/>
        </w:rPr>
        <w:t xml:space="preserve">fundamental for </w:t>
      </w:r>
      <w:r w:rsidR="00533025" w:rsidRPr="00101B71">
        <w:rPr>
          <w:iCs/>
        </w:rPr>
        <w:t>this current study</w:t>
      </w:r>
      <w:r w:rsidR="00E03773" w:rsidRPr="00101B71">
        <w:rPr>
          <w:iCs/>
        </w:rPr>
        <w:t xml:space="preserve">. </w:t>
      </w:r>
      <w:r w:rsidR="00606508" w:rsidRPr="00101B71">
        <w:rPr>
          <w:iCs/>
        </w:rPr>
        <w:t xml:space="preserve">However, Bernanke and Kuttner’s contribution stretches beyond the construction of a way to measure unexpected policies in a monthly framework; their findings also shed light on how </w:t>
      </w:r>
      <w:r w:rsidR="006A4983" w:rsidRPr="00101B71">
        <w:rPr>
          <w:iCs/>
        </w:rPr>
        <w:t>changing</w:t>
      </w:r>
      <w:r w:rsidR="00606508" w:rsidRPr="00101B71">
        <w:rPr>
          <w:iCs/>
        </w:rPr>
        <w:t xml:space="preserve"> expectations on excess returns and dividends mediate the impact on the equity market more than the effect of the sole interest rate change. </w:t>
      </w:r>
    </w:p>
    <w:p w14:paraId="53FE416F" w14:textId="42DABC32" w:rsidR="00EB6A75" w:rsidRPr="00101B71" w:rsidRDefault="00EB6A75" w:rsidP="007D4D7B">
      <w:pPr>
        <w:rPr>
          <w:iCs/>
        </w:rPr>
      </w:pPr>
      <w:r w:rsidRPr="00101B71">
        <w:rPr>
          <w:iCs/>
        </w:rPr>
        <w:t xml:space="preserve">As mentioned </w:t>
      </w:r>
      <w:r w:rsidR="00217715" w:rsidRPr="00101B71">
        <w:rPr>
          <w:iCs/>
        </w:rPr>
        <w:t>before</w:t>
      </w:r>
      <w:r w:rsidRPr="00101B71">
        <w:rPr>
          <w:iCs/>
        </w:rPr>
        <w:t xml:space="preserve">, the timing of the statement also matters and Ehrmann and Fratzscher (2005) look exactly at that to determine whether there is a pattern in how often and when central banks release statements. They conclude that the ECB does not increase the frequency of issued statements before the decision to change interest rates, a feature that sets it apart from the FED and the Bank of England. </w:t>
      </w:r>
      <w:r w:rsidR="007D4D7B" w:rsidRPr="00101B71">
        <w:rPr>
          <w:iCs/>
        </w:rPr>
        <w:t xml:space="preserve">This means that for the Eurozone market participants are often left with less guidance compared to the US or the UK. </w:t>
      </w:r>
      <w:r w:rsidR="00B456DF" w:rsidRPr="00101B71">
        <w:rPr>
          <w:iCs/>
        </w:rPr>
        <w:t>One p</w:t>
      </w:r>
      <w:r w:rsidR="007D4D7B" w:rsidRPr="00101B71">
        <w:rPr>
          <w:iCs/>
        </w:rPr>
        <w:t>ossible implication of this behavior from the ECB</w:t>
      </w:r>
      <w:r w:rsidR="00CB139D" w:rsidRPr="00101B71">
        <w:rPr>
          <w:iCs/>
        </w:rPr>
        <w:t xml:space="preserve"> </w:t>
      </w:r>
      <w:r w:rsidR="00B456DF" w:rsidRPr="00101B71">
        <w:rPr>
          <w:iCs/>
        </w:rPr>
        <w:t>is</w:t>
      </w:r>
      <w:r w:rsidR="007D4D7B" w:rsidRPr="00101B71">
        <w:rPr>
          <w:iCs/>
        </w:rPr>
        <w:t xml:space="preserve"> enhanced volatility in the equity markets. </w:t>
      </w:r>
    </w:p>
    <w:p w14:paraId="21A45A4A" w14:textId="3EC2EECB" w:rsidR="007D4D7B" w:rsidRPr="00101B71" w:rsidRDefault="007D4D7B" w:rsidP="007D4D7B">
      <w:pPr>
        <w:rPr>
          <w:iCs/>
        </w:rPr>
      </w:pPr>
      <w:r w:rsidRPr="00101B71">
        <w:rPr>
          <w:iCs/>
        </w:rPr>
        <w:lastRenderedPageBreak/>
        <w:t>However, the issue of how long it takes for market participants to incorporate new information into their expectations</w:t>
      </w:r>
      <w:r w:rsidR="00B456DF" w:rsidRPr="00101B71">
        <w:rPr>
          <w:iCs/>
        </w:rPr>
        <w:t xml:space="preserve"> is left to address</w:t>
      </w:r>
      <w:r w:rsidRPr="00101B71">
        <w:rPr>
          <w:iCs/>
        </w:rPr>
        <w:t xml:space="preserve">. </w:t>
      </w:r>
      <w:r w:rsidR="00B456DF" w:rsidRPr="00101B71">
        <w:rPr>
          <w:iCs/>
        </w:rPr>
        <w:t xml:space="preserve">A paper by Rosa (2011) includes a high-frequency analysis to determine how much volatility is generated after an FOMC meeting. Employing a GARCH (Generalized </w:t>
      </w:r>
      <w:r w:rsidR="00381409" w:rsidRPr="00101B71">
        <w:rPr>
          <w:iCs/>
        </w:rPr>
        <w:t>Autoregressive</w:t>
      </w:r>
      <w:r w:rsidR="00B456DF" w:rsidRPr="00101B71">
        <w:rPr>
          <w:iCs/>
        </w:rPr>
        <w:t xml:space="preserve"> Conditional Heteroskedasticity) model</w:t>
      </w:r>
      <w:r w:rsidR="004F6995">
        <w:rPr>
          <w:iCs/>
        </w:rPr>
        <w:t>,</w:t>
      </w:r>
      <w:r w:rsidR="00B456DF" w:rsidRPr="00101B71">
        <w:rPr>
          <w:iCs/>
        </w:rPr>
        <w:t xml:space="preserve"> </w:t>
      </w:r>
      <w:r w:rsidR="00AC2C72" w:rsidRPr="00101B71">
        <w:rPr>
          <w:iCs/>
        </w:rPr>
        <w:t>he unveils how higher volatility is present in the 40-minute time window after the FOMC is concluded. The main conclusion in this study is that, at least following the FED’s communication schedule, one could expect market participants to push for a market correction</w:t>
      </w:r>
      <w:r w:rsidR="00A44E32" w:rsidRPr="00101B71">
        <w:rPr>
          <w:iCs/>
        </w:rPr>
        <w:t>,</w:t>
      </w:r>
      <w:r w:rsidR="00AC2C72" w:rsidRPr="00101B71">
        <w:rPr>
          <w:iCs/>
        </w:rPr>
        <w:t xml:space="preserve"> reflecting the most recent</w:t>
      </w:r>
      <w:r w:rsidR="00CB139D" w:rsidRPr="00101B71">
        <w:rPr>
          <w:iCs/>
        </w:rPr>
        <w:t xml:space="preserve"> and available</w:t>
      </w:r>
      <w:r w:rsidR="00AC2C72" w:rsidRPr="00101B71">
        <w:rPr>
          <w:iCs/>
        </w:rPr>
        <w:t xml:space="preserve"> public</w:t>
      </w:r>
      <w:r w:rsidR="00CB139D" w:rsidRPr="00101B71">
        <w:rPr>
          <w:iCs/>
        </w:rPr>
        <w:t xml:space="preserve"> </w:t>
      </w:r>
      <w:r w:rsidR="00AC2C72" w:rsidRPr="00101B71">
        <w:rPr>
          <w:iCs/>
        </w:rPr>
        <w:t>information</w:t>
      </w:r>
      <w:r w:rsidR="00A44E32" w:rsidRPr="00101B71">
        <w:rPr>
          <w:iCs/>
        </w:rPr>
        <w:t>,</w:t>
      </w:r>
      <w:r w:rsidR="00AC2C72" w:rsidRPr="00101B71">
        <w:rPr>
          <w:iCs/>
        </w:rPr>
        <w:t xml:space="preserve"> in less than an hour from the release of such information. Moreover, his analysis also manages to find further support for the fact that the unexpected component accounts for most of </w:t>
      </w:r>
      <w:r w:rsidR="005D1CF4" w:rsidRPr="00101B71">
        <w:rPr>
          <w:iCs/>
        </w:rPr>
        <w:t xml:space="preserve">the volatility observed after the meeting. </w:t>
      </w:r>
    </w:p>
    <w:p w14:paraId="10F6DEC9" w14:textId="28447661" w:rsidR="005D1CF4" w:rsidRPr="00101B71" w:rsidRDefault="00A44E32" w:rsidP="007D4D7B">
      <w:pPr>
        <w:rPr>
          <w:iCs/>
        </w:rPr>
      </w:pPr>
      <w:r w:rsidRPr="00101B71">
        <w:rPr>
          <w:iCs/>
        </w:rPr>
        <w:t xml:space="preserve">The last relevant piece of literature </w:t>
      </w:r>
      <w:r w:rsidR="00FE3449" w:rsidRPr="00101B71">
        <w:rPr>
          <w:iCs/>
        </w:rPr>
        <w:t xml:space="preserve">for this </w:t>
      </w:r>
      <w:r w:rsidR="00CB1E95" w:rsidRPr="00101B71">
        <w:rPr>
          <w:iCs/>
        </w:rPr>
        <w:t>current study</w:t>
      </w:r>
      <w:r w:rsidR="00FE3449" w:rsidRPr="00101B71">
        <w:rPr>
          <w:iCs/>
        </w:rPr>
        <w:t xml:space="preserve"> introduces an algorithm-based classification technique. </w:t>
      </w:r>
      <w:r w:rsidR="005D1CF4" w:rsidRPr="00101B71">
        <w:rPr>
          <w:iCs/>
        </w:rPr>
        <w:t xml:space="preserve">In an attempt to improve on </w:t>
      </w:r>
      <w:r w:rsidR="005E2654" w:rsidRPr="00101B71">
        <w:rPr>
          <w:iCs/>
        </w:rPr>
        <w:t>human-based tone classification tasks</w:t>
      </w:r>
      <w:r w:rsidR="001300FA" w:rsidRPr="00101B71">
        <w:rPr>
          <w:iCs/>
        </w:rPr>
        <w:t>,</w:t>
      </w:r>
      <w:r w:rsidR="005E2654" w:rsidRPr="00101B71">
        <w:rPr>
          <w:iCs/>
        </w:rPr>
        <w:t xml:space="preserve"> </w:t>
      </w:r>
      <w:r w:rsidR="001300FA" w:rsidRPr="00101B71">
        <w:rPr>
          <w:iCs/>
        </w:rPr>
        <w:t>whose outcomes</w:t>
      </w:r>
      <w:r w:rsidR="005E2654" w:rsidRPr="00101B71">
        <w:rPr>
          <w:iCs/>
        </w:rPr>
        <w:t xml:space="preserve"> </w:t>
      </w:r>
      <w:r w:rsidR="001300FA" w:rsidRPr="00101B71">
        <w:rPr>
          <w:iCs/>
        </w:rPr>
        <w:t>could</w:t>
      </w:r>
      <w:r w:rsidR="005E2654" w:rsidRPr="00101B71">
        <w:rPr>
          <w:iCs/>
        </w:rPr>
        <w:t xml:space="preserve"> be</w:t>
      </w:r>
      <w:r w:rsidR="001300FA" w:rsidRPr="00101B71">
        <w:rPr>
          <w:iCs/>
        </w:rPr>
        <w:t xml:space="preserve"> influenced by</w:t>
      </w:r>
      <w:r w:rsidR="005E2654" w:rsidRPr="00101B71">
        <w:rPr>
          <w:iCs/>
        </w:rPr>
        <w:t xml:space="preserve"> </w:t>
      </w:r>
      <w:r w:rsidR="001300FA" w:rsidRPr="00101B71">
        <w:rPr>
          <w:iCs/>
        </w:rPr>
        <w:t xml:space="preserve">cognitive </w:t>
      </w:r>
      <w:r w:rsidR="005E2654" w:rsidRPr="00101B71">
        <w:rPr>
          <w:iCs/>
        </w:rPr>
        <w:t>biase</w:t>
      </w:r>
      <w:r w:rsidR="001300FA" w:rsidRPr="00101B71">
        <w:rPr>
          <w:iCs/>
        </w:rPr>
        <w:t>s</w:t>
      </w:r>
      <w:r w:rsidR="005E2654" w:rsidRPr="00101B71">
        <w:rPr>
          <w:iCs/>
        </w:rPr>
        <w:t xml:space="preserve"> thus leading to harder-to-replicate results, Chadha et al. (2020) present a Machine Learning algorithm which extracts the meaning of a text file and classify it as either dovish, neutral, or hawkish. This approach was applied to a corpus of central banks’ documents to find the latent tone of the statement and create a categorical variable out of it. This is a massive improvement </w:t>
      </w:r>
      <w:r w:rsidR="0094230C" w:rsidRPr="00101B71">
        <w:rPr>
          <w:iCs/>
        </w:rPr>
        <w:t xml:space="preserve">from previous </w:t>
      </w:r>
      <w:r w:rsidR="00C66D50" w:rsidRPr="00101B71">
        <w:rPr>
          <w:iCs/>
        </w:rPr>
        <w:t>human-based classification tasks</w:t>
      </w:r>
      <w:r w:rsidR="005E2654" w:rsidRPr="00101B71">
        <w:rPr>
          <w:iCs/>
        </w:rPr>
        <w:t xml:space="preserve"> since it allows the analysis to be more reliable, less biased, and much more </w:t>
      </w:r>
      <w:r w:rsidR="00533025" w:rsidRPr="00101B71">
        <w:rPr>
          <w:iCs/>
        </w:rPr>
        <w:t>generalizable</w:t>
      </w:r>
      <w:r w:rsidR="005E2654" w:rsidRPr="00101B71">
        <w:rPr>
          <w:iCs/>
        </w:rPr>
        <w:t xml:space="preserve">. The present study borrowed the lists of words </w:t>
      </w:r>
      <w:r w:rsidR="00C66D50" w:rsidRPr="00101B71">
        <w:rPr>
          <w:iCs/>
        </w:rPr>
        <w:t xml:space="preserve">they </w:t>
      </w:r>
      <w:r w:rsidR="005E2654" w:rsidRPr="00101B71">
        <w:rPr>
          <w:iCs/>
        </w:rPr>
        <w:t xml:space="preserve">used to classify statements as either dovish or hawkish and implemented </w:t>
      </w:r>
      <w:r w:rsidR="00904AA7" w:rsidRPr="00101B71">
        <w:rPr>
          <w:iCs/>
        </w:rPr>
        <w:t>those terms</w:t>
      </w:r>
      <w:r w:rsidR="005E2654" w:rsidRPr="00101B71">
        <w:rPr>
          <w:iCs/>
        </w:rPr>
        <w:t xml:space="preserve"> in a frequential Python-based algorithm. The details of the algorithm will be presented in the methodology section of the paper. The full code is available on GitHub for replicability purposes.</w:t>
      </w:r>
      <w:r w:rsidR="005E2654" w:rsidRPr="00101B71">
        <w:rPr>
          <w:rStyle w:val="FootnoteReference"/>
          <w:iCs/>
        </w:rPr>
        <w:footnoteReference w:id="2"/>
      </w:r>
      <w:r w:rsidR="005E2654" w:rsidRPr="00101B71">
        <w:rPr>
          <w:iCs/>
        </w:rPr>
        <w:t xml:space="preserve">  </w:t>
      </w:r>
    </w:p>
    <w:p w14:paraId="1E627854" w14:textId="6D01AA8D" w:rsidR="004A6EE4" w:rsidRPr="00101B71" w:rsidRDefault="00BC01DF" w:rsidP="00BC01DF">
      <w:pPr>
        <w:pStyle w:val="Heading1"/>
      </w:pPr>
      <w:bookmarkStart w:id="3" w:name="_Toc132643761"/>
      <w:r w:rsidRPr="00101B71">
        <w:lastRenderedPageBreak/>
        <w:t>Research Question and Hypotheses</w:t>
      </w:r>
      <w:bookmarkEnd w:id="3"/>
    </w:p>
    <w:p w14:paraId="746ACA60" w14:textId="3CA43135" w:rsidR="00BF5643" w:rsidRPr="00101B71" w:rsidRDefault="00BC01DF" w:rsidP="00BC01DF">
      <w:r w:rsidRPr="00101B71">
        <w:t xml:space="preserve">The underlying question to this current study is: </w:t>
      </w:r>
      <w:r w:rsidR="00BF5F7D">
        <w:t>h</w:t>
      </w:r>
      <w:r w:rsidRPr="00101B71">
        <w:t xml:space="preserve">ow do ECB’s statements affect the </w:t>
      </w:r>
      <w:r w:rsidR="00471087" w:rsidRPr="00101B71">
        <w:t>volatility</w:t>
      </w:r>
      <w:r w:rsidRPr="00101B71">
        <w:t xml:space="preserve"> in the European equity market? </w:t>
      </w:r>
      <w:r w:rsidR="00644295" w:rsidRPr="00101B71">
        <w:t xml:space="preserve">Specifically, how </w:t>
      </w:r>
      <w:r w:rsidR="00533025" w:rsidRPr="00101B71">
        <w:t xml:space="preserve">do </w:t>
      </w:r>
      <w:r w:rsidR="00644295" w:rsidRPr="00101B71">
        <w:t xml:space="preserve">the surprise policy change </w:t>
      </w:r>
      <w:r w:rsidR="00533025" w:rsidRPr="00101B71">
        <w:t>and the tone of the statement reinforce volatility?</w:t>
      </w:r>
      <w:r w:rsidR="00617181" w:rsidRPr="00101B71">
        <w:t xml:space="preserve"> Have there been any changes in how statements are perceived </w:t>
      </w:r>
      <w:r w:rsidR="001E2932" w:rsidRPr="00101B71">
        <w:t xml:space="preserve">by investors </w:t>
      </w:r>
      <w:r w:rsidR="00617181" w:rsidRPr="00101B71">
        <w:t>after the COVID-19 pandemic?</w:t>
      </w:r>
    </w:p>
    <w:p w14:paraId="73F8CB12" w14:textId="1CFAE469" w:rsidR="00BC01DF" w:rsidRPr="00101B71" w:rsidRDefault="00644295" w:rsidP="00BC01DF">
      <w:r w:rsidRPr="00101B71">
        <w:t>T</w:t>
      </w:r>
      <w:r w:rsidR="00C836EE" w:rsidRPr="00101B71">
        <w:t xml:space="preserve">he following analysis hypothesized that hawkish statements are going to influence volatility more than dovish statements. This directly stems from the liquidity preference theory asserting that in a liquid market there are many buyers and sellers willing to trade an asset, which makes it easier to buy or sell at a fair price. On the other hand, in a market with less liquidity, there are fewer buyers and sellers, which makes it harder to execute trades at a fair price. </w:t>
      </w:r>
      <w:r w:rsidR="003F735A">
        <w:t xml:space="preserve">As a </w:t>
      </w:r>
      <w:r w:rsidR="00C836EE" w:rsidRPr="00101B71">
        <w:t>result</w:t>
      </w:r>
      <w:r w:rsidR="003F735A">
        <w:t>, t</w:t>
      </w:r>
      <w:r w:rsidR="00C836EE" w:rsidRPr="00101B71">
        <w:t xml:space="preserve">his can </w:t>
      </w:r>
      <w:r w:rsidR="003F735A">
        <w:t>lead to</w:t>
      </w:r>
      <w:r w:rsidR="00C836EE" w:rsidRPr="00101B71">
        <w:t xml:space="preserve"> wider bid-ask spreads</w:t>
      </w:r>
      <w:r w:rsidR="00140DFB">
        <w:t xml:space="preserve"> which in turn</w:t>
      </w:r>
      <w:r w:rsidR="00C836EE" w:rsidRPr="00101B71">
        <w:t xml:space="preserve"> can lead to larger price swings as buyers and sellers adjust their prices to match each other, resulting in higher volatility</w:t>
      </w:r>
      <w:r w:rsidR="00BF5643" w:rsidRPr="00101B71">
        <w:t xml:space="preserve"> (Amihud et al., 1990)</w:t>
      </w:r>
      <w:r w:rsidR="00C836EE" w:rsidRPr="00101B71">
        <w:t>.</w:t>
      </w:r>
      <w:r w:rsidR="00BF5643" w:rsidRPr="00101B71">
        <w:t xml:space="preserve"> </w:t>
      </w:r>
    </w:p>
    <w:p w14:paraId="15EEE278" w14:textId="2AEDABC5" w:rsidR="00BF5643" w:rsidRPr="00101B71" w:rsidRDefault="00BF5643" w:rsidP="00BF5643">
      <w:r w:rsidRPr="00101B71">
        <w:t>A second hypothesis is that unexpected changes in interest rates promote more volatility regardless of the nature of the statement</w:t>
      </w:r>
      <w:r w:rsidR="00935732" w:rsidRPr="00101B71">
        <w:t>. This hypothesis is important to test as it directly relates to how market agents form expectations for long-run interest rates based on central bank’s intervention</w:t>
      </w:r>
      <w:r w:rsidR="00533025" w:rsidRPr="00101B71">
        <w:t>s</w:t>
      </w:r>
      <w:r w:rsidR="00935732" w:rsidRPr="00101B71">
        <w:t xml:space="preserve"> on short-term </w:t>
      </w:r>
      <w:r w:rsidR="00533025" w:rsidRPr="00101B71">
        <w:t>rates</w:t>
      </w:r>
      <w:r w:rsidR="00935732" w:rsidRPr="00101B71">
        <w:t xml:space="preserve">. </w:t>
      </w:r>
      <w:r w:rsidR="00A71014" w:rsidRPr="00101B71">
        <w:t xml:space="preserve">The rationale behind this is that every public information that was not </w:t>
      </w:r>
      <w:r w:rsidR="005128C4" w:rsidRPr="00101B71">
        <w:t>considered</w:t>
      </w:r>
      <w:r w:rsidR="00A71014" w:rsidRPr="00101B71">
        <w:t xml:space="preserve"> at time </w:t>
      </w:r>
      <w:r w:rsidR="00A71014" w:rsidRPr="00101B71">
        <w:rPr>
          <w:i/>
          <w:iCs/>
        </w:rPr>
        <w:t>t</w:t>
      </w:r>
      <w:r w:rsidR="00A71014" w:rsidRPr="00101B71">
        <w:t xml:space="preserve"> (i.e., unexpected change) will be incorporated into prices leading to a market correction at time </w:t>
      </w:r>
      <w:r w:rsidR="00A71014" w:rsidRPr="00101B71">
        <w:rPr>
          <w:i/>
          <w:iCs/>
        </w:rPr>
        <w:t>t+1</w:t>
      </w:r>
      <w:r w:rsidR="005128C4" w:rsidRPr="00101B71">
        <w:t>, assuming that markets are efficient</w:t>
      </w:r>
      <w:r w:rsidR="00A71014" w:rsidRPr="00101B71">
        <w:t xml:space="preserve">. </w:t>
      </w:r>
      <w:r w:rsidR="005128C4" w:rsidRPr="00101B71">
        <w:t xml:space="preserve">This market correction </w:t>
      </w:r>
      <w:r w:rsidR="004E5D1A" w:rsidRPr="00101B71">
        <w:t>is expected to</w:t>
      </w:r>
      <w:r w:rsidR="005128C4" w:rsidRPr="00101B71">
        <w:t xml:space="preserve"> be the source of increased volatility. </w:t>
      </w:r>
    </w:p>
    <w:p w14:paraId="1602E948" w14:textId="67F9D1A3" w:rsidR="00760A2C" w:rsidRPr="00101B71" w:rsidRDefault="00760A2C" w:rsidP="00760A2C">
      <w:pPr>
        <w:pStyle w:val="Heading1"/>
      </w:pPr>
      <w:bookmarkStart w:id="4" w:name="_Toc132643762"/>
      <w:r w:rsidRPr="00101B71">
        <w:t>Methodology and Data Sources</w:t>
      </w:r>
      <w:bookmarkEnd w:id="4"/>
      <w:r w:rsidRPr="00101B71">
        <w:t xml:space="preserve"> </w:t>
      </w:r>
    </w:p>
    <w:p w14:paraId="07A02F40" w14:textId="599525C2" w:rsidR="00CB1E95" w:rsidRPr="00101B71" w:rsidRDefault="00CB1E95" w:rsidP="00CB716E">
      <w:r w:rsidRPr="00101B71">
        <w:t xml:space="preserve">Being particularly focused on text-analysis and on the re-elaboration of specific variables, this methodology section will outline how the entire empirical analysis has been carried out. </w:t>
      </w:r>
      <w:r w:rsidR="00634276" w:rsidRPr="00101B71">
        <w:t xml:space="preserve">The first challenge </w:t>
      </w:r>
      <w:r w:rsidR="00DE3853">
        <w:t>of</w:t>
      </w:r>
      <w:r w:rsidR="00634276" w:rsidRPr="00101B71">
        <w:t xml:space="preserve"> this study is the creation of a dummy variable categorizing a given ECB statement as either employing a positive (dovish) or negative (hawkish) tone. </w:t>
      </w:r>
      <w:r w:rsidR="00634276" w:rsidRPr="00101B71">
        <w:lastRenderedPageBreak/>
        <w:t xml:space="preserve">Contrary to previous studies relying on human categorization, as also pointed out above, this study expands on the literature of Natural Language Processing </w:t>
      </w:r>
      <w:r w:rsidR="00FF4838" w:rsidRPr="00101B71">
        <w:t>(NLP) algorithms to provide an unbiased categorization of the statements. The algorithm developed carries out the task by computing the frequency of occurrence of specific words that belong to either a pre-specified list of hawkish or dovish words</w:t>
      </w:r>
      <w:r w:rsidR="00FF4838" w:rsidRPr="00101B71">
        <w:rPr>
          <w:rStyle w:val="FootnoteReference"/>
          <w:rFonts w:asciiTheme="majorHAnsi" w:eastAsiaTheme="majorEastAsia" w:hAnsiTheme="majorHAnsi" w:cstheme="majorBidi"/>
        </w:rPr>
        <w:footnoteReference w:id="3"/>
      </w:r>
      <w:r w:rsidR="00FF4838" w:rsidRPr="00101B71">
        <w:t xml:space="preserve">. Documents have been downloaded directly in PDF format from the ECB website, converted into txt files to perform the analysis, and </w:t>
      </w:r>
      <w:r w:rsidR="002006ED">
        <w:t>inpu</w:t>
      </w:r>
      <w:r w:rsidR="00D65767">
        <w:t>t</w:t>
      </w:r>
      <w:r w:rsidR="002006ED">
        <w:t>t</w:t>
      </w:r>
      <w:r w:rsidR="00D65767">
        <w:t>ed</w:t>
      </w:r>
      <w:r w:rsidR="002006ED">
        <w:t xml:space="preserve"> into</w:t>
      </w:r>
      <w:r w:rsidR="00FF4838" w:rsidRPr="00101B71">
        <w:t xml:space="preserve"> the categorization algorithm. The algorithm reduced words to their root form and counted their occurrences in the text; then compared whether there were more words belonging to the dovish or hawkish dictionary and assigned a score of 1 (hawkish) or 0 (dovish).</w:t>
      </w:r>
    </w:p>
    <w:p w14:paraId="3D73F99C" w14:textId="21B14CF7" w:rsidR="00666075" w:rsidRPr="00101B71" w:rsidRDefault="00FF4838" w:rsidP="00A44E32">
      <w:pPr>
        <w:ind w:firstLine="0"/>
        <w:rPr>
          <w:rFonts w:asciiTheme="majorHAnsi" w:eastAsiaTheme="majorEastAsia" w:hAnsiTheme="majorHAnsi" w:cstheme="majorBidi"/>
        </w:rPr>
      </w:pPr>
      <w:r w:rsidRPr="00101B71">
        <w:rPr>
          <w:rFonts w:asciiTheme="majorHAnsi" w:eastAsiaTheme="majorEastAsia" w:hAnsiTheme="majorHAnsi" w:cstheme="majorBidi"/>
        </w:rPr>
        <w:tab/>
        <w:t xml:space="preserve">The second challenge that the current study had to face was the creation of a </w:t>
      </w:r>
      <w:r w:rsidR="00D44BBD" w:rsidRPr="00101B71">
        <w:rPr>
          <w:rFonts w:asciiTheme="majorHAnsi" w:eastAsiaTheme="majorEastAsia" w:hAnsiTheme="majorHAnsi" w:cstheme="majorBidi"/>
        </w:rPr>
        <w:t xml:space="preserve">variable capable of measuring the unexpected component of monetary policies. The creation of such variable follows Bernanke and Kuttner’s decomposition with monthly data presented in </w:t>
      </w:r>
      <w:r w:rsidR="00571E0B">
        <w:rPr>
          <w:rFonts w:asciiTheme="majorHAnsi" w:eastAsiaTheme="majorEastAsia" w:hAnsiTheme="majorHAnsi" w:cstheme="majorBidi"/>
          <w:i/>
          <w:iCs/>
        </w:rPr>
        <w:t>e</w:t>
      </w:r>
      <w:r w:rsidR="00D44BBD" w:rsidRPr="00101B71">
        <w:rPr>
          <w:rFonts w:asciiTheme="majorHAnsi" w:eastAsiaTheme="majorEastAsia" w:hAnsiTheme="majorHAnsi" w:cstheme="majorBidi"/>
          <w:i/>
          <w:iCs/>
        </w:rPr>
        <w:t>quation 2</w:t>
      </w:r>
      <w:r w:rsidR="00D44BBD" w:rsidRPr="00101B71">
        <w:rPr>
          <w:rFonts w:asciiTheme="majorHAnsi" w:eastAsiaTheme="majorEastAsia" w:hAnsiTheme="majorHAnsi" w:cstheme="majorBidi"/>
        </w:rPr>
        <w:t xml:space="preserve">. Therefore, the unexpected component was operationalized as the difference </w:t>
      </w:r>
      <w:r w:rsidR="00D92F61" w:rsidRPr="00101B71">
        <w:rPr>
          <w:rFonts w:asciiTheme="majorHAnsi" w:eastAsiaTheme="majorEastAsia" w:hAnsiTheme="majorHAnsi" w:cstheme="majorBidi"/>
        </w:rPr>
        <w:t xml:space="preserve">between the average of the </w:t>
      </w:r>
      <w:r w:rsidR="00901808" w:rsidRPr="00101B71">
        <w:rPr>
          <w:rFonts w:asciiTheme="majorHAnsi" w:eastAsiaTheme="majorEastAsia" w:hAnsiTheme="majorHAnsi" w:cstheme="majorBidi"/>
        </w:rPr>
        <w:t>short</w:t>
      </w:r>
      <w:r w:rsidR="002B40F7" w:rsidRPr="00101B71">
        <w:rPr>
          <w:rFonts w:asciiTheme="majorHAnsi" w:eastAsiaTheme="majorEastAsia" w:hAnsiTheme="majorHAnsi" w:cstheme="majorBidi"/>
        </w:rPr>
        <w:t>-</w:t>
      </w:r>
      <w:r w:rsidR="00901808" w:rsidRPr="00101B71">
        <w:rPr>
          <w:rFonts w:asciiTheme="majorHAnsi" w:eastAsiaTheme="majorEastAsia" w:hAnsiTheme="majorHAnsi" w:cstheme="majorBidi"/>
        </w:rPr>
        <w:t xml:space="preserve">term </w:t>
      </w:r>
      <w:r w:rsidR="00D92F61" w:rsidRPr="00101B71">
        <w:rPr>
          <w:rFonts w:asciiTheme="majorHAnsi" w:eastAsiaTheme="majorEastAsia" w:hAnsiTheme="majorHAnsi" w:cstheme="majorBidi"/>
        </w:rPr>
        <w:t xml:space="preserve">interest rate </w:t>
      </w:r>
      <w:r w:rsidR="00901808" w:rsidRPr="00101B71">
        <w:rPr>
          <w:rFonts w:asciiTheme="majorHAnsi" w:eastAsiaTheme="majorEastAsia" w:hAnsiTheme="majorHAnsi" w:cstheme="majorBidi"/>
        </w:rPr>
        <w:t>(</w:t>
      </w:r>
      <w:r w:rsidR="002B40F7" w:rsidRPr="00101B71">
        <w:rPr>
          <w:rFonts w:asciiTheme="majorHAnsi" w:eastAsiaTheme="majorEastAsia" w:hAnsiTheme="majorHAnsi" w:cstheme="majorBidi"/>
        </w:rPr>
        <w:t xml:space="preserve">i.e., the </w:t>
      </w:r>
      <w:r w:rsidR="009230ED" w:rsidRPr="00101B71">
        <w:rPr>
          <w:rFonts w:asciiTheme="majorHAnsi" w:eastAsiaTheme="majorEastAsia" w:hAnsiTheme="majorHAnsi" w:cstheme="majorBidi"/>
        </w:rPr>
        <w:t xml:space="preserve">ECB deposit </w:t>
      </w:r>
      <w:r w:rsidR="00901808" w:rsidRPr="00101B71">
        <w:rPr>
          <w:rFonts w:asciiTheme="majorHAnsi" w:eastAsiaTheme="majorEastAsia" w:hAnsiTheme="majorHAnsi" w:cstheme="majorBidi"/>
        </w:rPr>
        <w:t xml:space="preserve">facility </w:t>
      </w:r>
      <w:r w:rsidR="009230ED" w:rsidRPr="00101B71">
        <w:rPr>
          <w:rFonts w:asciiTheme="majorHAnsi" w:eastAsiaTheme="majorEastAsia" w:hAnsiTheme="majorHAnsi" w:cstheme="majorBidi"/>
        </w:rPr>
        <w:t xml:space="preserve">rate) </w:t>
      </w:r>
      <w:r w:rsidR="00D92F61" w:rsidRPr="00101B71">
        <w:rPr>
          <w:rFonts w:asciiTheme="majorHAnsi" w:eastAsiaTheme="majorEastAsia" w:hAnsiTheme="majorHAnsi" w:cstheme="majorBidi"/>
        </w:rPr>
        <w:t>in a specific month and the interest rate implied by a similar future</w:t>
      </w:r>
      <w:r w:rsidR="006C4A64">
        <w:rPr>
          <w:rFonts w:asciiTheme="majorHAnsi" w:eastAsiaTheme="majorEastAsia" w:hAnsiTheme="majorHAnsi" w:cstheme="majorBidi"/>
        </w:rPr>
        <w:t>s</w:t>
      </w:r>
      <w:r w:rsidR="00D92F61" w:rsidRPr="00101B71">
        <w:rPr>
          <w:rFonts w:asciiTheme="majorHAnsi" w:eastAsiaTheme="majorEastAsia" w:hAnsiTheme="majorHAnsi" w:cstheme="majorBidi"/>
        </w:rPr>
        <w:t xml:space="preserve"> contract on short-term rates (EURIBOR) </w:t>
      </w:r>
      <w:r w:rsidR="00666075" w:rsidRPr="00101B71">
        <w:rPr>
          <w:rFonts w:asciiTheme="majorHAnsi" w:eastAsiaTheme="majorEastAsia" w:hAnsiTheme="majorHAnsi" w:cstheme="majorBidi"/>
        </w:rPr>
        <w:t>on the last day of</w:t>
      </w:r>
      <w:r w:rsidR="00D92F61" w:rsidRPr="00101B71">
        <w:rPr>
          <w:rFonts w:asciiTheme="majorHAnsi" w:eastAsiaTheme="majorEastAsia" w:hAnsiTheme="majorHAnsi" w:cstheme="majorBidi"/>
        </w:rPr>
        <w:t xml:space="preserve"> the preceding month.</w:t>
      </w:r>
      <w:r w:rsidR="00666075" w:rsidRPr="00101B71">
        <w:rPr>
          <w:rFonts w:asciiTheme="majorHAnsi" w:eastAsiaTheme="majorEastAsia" w:hAnsiTheme="majorHAnsi" w:cstheme="majorBidi"/>
        </w:rPr>
        <w:t xml:space="preserve"> </w:t>
      </w:r>
    </w:p>
    <w:p w14:paraId="415E958A" w14:textId="67C7473C" w:rsidR="00A44E32" w:rsidRPr="00101B71" w:rsidRDefault="00666075" w:rsidP="0091168E">
      <w:pPr>
        <w:ind w:firstLine="0"/>
        <w:rPr>
          <w:rFonts w:asciiTheme="majorHAnsi" w:eastAsiaTheme="majorEastAsia" w:hAnsiTheme="majorHAnsi" w:cstheme="majorBidi"/>
        </w:rPr>
      </w:pPr>
      <w:r w:rsidRPr="00101B71">
        <w:rPr>
          <w:rFonts w:asciiTheme="majorHAnsi" w:eastAsiaTheme="majorEastAsia" w:hAnsiTheme="majorHAnsi" w:cstheme="majorBidi"/>
        </w:rPr>
        <w:tab/>
        <w:t>All other variables have</w:t>
      </w:r>
      <w:r w:rsidR="00937B6F" w:rsidRPr="00101B71">
        <w:rPr>
          <w:rFonts w:asciiTheme="majorHAnsi" w:eastAsiaTheme="majorEastAsia" w:hAnsiTheme="majorHAnsi" w:cstheme="majorBidi"/>
        </w:rPr>
        <w:t xml:space="preserve"> been obtained from reliable databases such as the </w:t>
      </w:r>
      <w:hyperlink r:id="rId10" w:history="1">
        <w:r w:rsidR="00937B6F" w:rsidRPr="00101B71">
          <w:rPr>
            <w:rStyle w:val="Hyperlink"/>
            <w:rFonts w:asciiTheme="majorHAnsi" w:eastAsiaTheme="majorEastAsia" w:hAnsiTheme="majorHAnsi" w:cstheme="majorBidi"/>
          </w:rPr>
          <w:t>ECB Data Warehouse</w:t>
        </w:r>
      </w:hyperlink>
      <w:r w:rsidR="00937B6F" w:rsidRPr="00101B71">
        <w:rPr>
          <w:rFonts w:asciiTheme="majorHAnsi" w:eastAsiaTheme="majorEastAsia" w:hAnsiTheme="majorHAnsi" w:cstheme="majorBidi"/>
        </w:rPr>
        <w:t xml:space="preserve"> or from the </w:t>
      </w:r>
      <w:hyperlink r:id="rId11" w:history="1">
        <w:r w:rsidR="00937B6F" w:rsidRPr="00101B71">
          <w:rPr>
            <w:rStyle w:val="Hyperlink"/>
            <w:rFonts w:asciiTheme="majorHAnsi" w:eastAsiaTheme="majorEastAsia" w:hAnsiTheme="majorHAnsi" w:cstheme="majorBidi"/>
          </w:rPr>
          <w:t>FRED</w:t>
        </w:r>
      </w:hyperlink>
      <w:r w:rsidR="00937B6F" w:rsidRPr="00101B71">
        <w:rPr>
          <w:rFonts w:asciiTheme="majorHAnsi" w:eastAsiaTheme="majorEastAsia" w:hAnsiTheme="majorHAnsi" w:cstheme="majorBidi"/>
        </w:rPr>
        <w:t xml:space="preserve"> website.</w:t>
      </w:r>
      <w:r w:rsidR="006C4A64">
        <w:rPr>
          <w:rFonts w:asciiTheme="majorHAnsi" w:eastAsiaTheme="majorEastAsia" w:hAnsiTheme="majorHAnsi" w:cstheme="majorBidi"/>
        </w:rPr>
        <w:t xml:space="preserve"> </w:t>
      </w:r>
      <w:r w:rsidR="00897429" w:rsidRPr="00101B71">
        <w:rPr>
          <w:rFonts w:asciiTheme="majorHAnsi" w:eastAsiaTheme="majorEastAsia" w:hAnsiTheme="majorHAnsi" w:cstheme="majorBidi"/>
        </w:rPr>
        <w:t>Moreover, the d</w:t>
      </w:r>
      <w:r w:rsidR="00CF2CEA" w:rsidRPr="00101B71">
        <w:rPr>
          <w:rFonts w:asciiTheme="majorHAnsi" w:eastAsiaTheme="majorEastAsia" w:hAnsiTheme="majorHAnsi" w:cstheme="majorBidi"/>
        </w:rPr>
        <w:t>ata</w:t>
      </w:r>
      <w:r w:rsidR="00897429" w:rsidRPr="00101B71">
        <w:rPr>
          <w:rFonts w:asciiTheme="majorHAnsi" w:eastAsiaTheme="majorEastAsia" w:hAnsiTheme="majorHAnsi" w:cstheme="majorBidi"/>
        </w:rPr>
        <w:t xml:space="preserve">set </w:t>
      </w:r>
      <w:r w:rsidR="00CF2CEA" w:rsidRPr="00101B71">
        <w:rPr>
          <w:rFonts w:asciiTheme="majorHAnsi" w:eastAsiaTheme="majorEastAsia" w:hAnsiTheme="majorHAnsi" w:cstheme="majorBidi"/>
        </w:rPr>
        <w:t xml:space="preserve">underwent cleaning procedures to facilitate the analysis and make it more solid. </w:t>
      </w:r>
      <w:r w:rsidR="005E3C74" w:rsidRPr="00101B71">
        <w:rPr>
          <w:rFonts w:asciiTheme="majorHAnsi" w:eastAsiaTheme="majorEastAsia" w:hAnsiTheme="majorHAnsi" w:cstheme="majorBidi"/>
        </w:rPr>
        <w:t>The procedures focused on removing outliers</w:t>
      </w:r>
      <w:r w:rsidR="00E05DC0" w:rsidRPr="00101B71">
        <w:rPr>
          <w:rFonts w:asciiTheme="majorHAnsi" w:eastAsiaTheme="majorEastAsia" w:hAnsiTheme="majorHAnsi" w:cstheme="majorBidi"/>
        </w:rPr>
        <w:t xml:space="preserve"> and, therefore, observations above the VSTOXX’s 95</w:t>
      </w:r>
      <w:r w:rsidR="00E05DC0" w:rsidRPr="00101B71">
        <w:rPr>
          <w:rFonts w:asciiTheme="majorHAnsi" w:eastAsiaTheme="majorEastAsia" w:hAnsiTheme="majorHAnsi" w:cstheme="majorBidi"/>
          <w:vertAlign w:val="superscript"/>
        </w:rPr>
        <w:t>th</w:t>
      </w:r>
      <w:r w:rsidR="00E05DC0" w:rsidRPr="00101B71">
        <w:rPr>
          <w:rFonts w:asciiTheme="majorHAnsi" w:eastAsiaTheme="majorEastAsia" w:hAnsiTheme="majorHAnsi" w:cstheme="majorBidi"/>
        </w:rPr>
        <w:t xml:space="preserve"> percentile have been dropped, resulting in a sample reduction of three</w:t>
      </w:r>
      <w:r w:rsidR="00095E81" w:rsidRPr="00101B71">
        <w:rPr>
          <w:rFonts w:asciiTheme="majorHAnsi" w:eastAsiaTheme="majorEastAsia" w:hAnsiTheme="majorHAnsi" w:cstheme="majorBidi"/>
        </w:rPr>
        <w:t xml:space="preserve"> datapoints</w:t>
      </w:r>
      <w:r w:rsidR="00E05DC0" w:rsidRPr="00101B71">
        <w:rPr>
          <w:rFonts w:asciiTheme="majorHAnsi" w:eastAsiaTheme="majorEastAsia" w:hAnsiTheme="majorHAnsi" w:cstheme="majorBidi"/>
        </w:rPr>
        <w:t xml:space="preserve">. They were observations from the months of March, </w:t>
      </w:r>
      <w:r w:rsidR="00095E81" w:rsidRPr="00101B71">
        <w:rPr>
          <w:rFonts w:asciiTheme="majorHAnsi" w:eastAsiaTheme="majorEastAsia" w:hAnsiTheme="majorHAnsi" w:cstheme="majorBidi"/>
        </w:rPr>
        <w:t xml:space="preserve">April, and May 2020 when the COVID pandemic started to shake markets. </w:t>
      </w:r>
      <w:r w:rsidR="006235EF" w:rsidRPr="00101B71">
        <w:rPr>
          <w:rFonts w:asciiTheme="majorHAnsi" w:eastAsiaTheme="majorEastAsia" w:hAnsiTheme="majorHAnsi" w:cstheme="majorBidi"/>
        </w:rPr>
        <w:t>O</w:t>
      </w:r>
      <w:r w:rsidR="00897429" w:rsidRPr="00101B71">
        <w:rPr>
          <w:rFonts w:asciiTheme="majorHAnsi" w:eastAsiaTheme="majorEastAsia" w:hAnsiTheme="majorHAnsi" w:cstheme="majorBidi"/>
        </w:rPr>
        <w:t xml:space="preserve">utliers have been </w:t>
      </w:r>
      <w:r w:rsidR="006235EF" w:rsidRPr="00101B71">
        <w:rPr>
          <w:rFonts w:asciiTheme="majorHAnsi" w:eastAsiaTheme="majorEastAsia" w:hAnsiTheme="majorHAnsi" w:cstheme="majorBidi"/>
        </w:rPr>
        <w:t>retained only</w:t>
      </w:r>
      <w:r w:rsidR="00897429" w:rsidRPr="00101B71">
        <w:rPr>
          <w:rFonts w:asciiTheme="majorHAnsi" w:eastAsiaTheme="majorEastAsia" w:hAnsiTheme="majorHAnsi" w:cstheme="majorBidi"/>
        </w:rPr>
        <w:t xml:space="preserve"> for the analysis employing the </w:t>
      </w:r>
      <w:r w:rsidR="006235EF" w:rsidRPr="00101B71">
        <w:rPr>
          <w:rFonts w:asciiTheme="majorHAnsi" w:eastAsiaTheme="majorEastAsia" w:hAnsiTheme="majorHAnsi" w:cstheme="majorBidi"/>
        </w:rPr>
        <w:t xml:space="preserve">GARCH model to assess how well it would deal with </w:t>
      </w:r>
      <w:r w:rsidR="0091168E" w:rsidRPr="00101B71">
        <w:rPr>
          <w:rFonts w:asciiTheme="majorHAnsi" w:eastAsiaTheme="majorEastAsia" w:hAnsiTheme="majorHAnsi" w:cstheme="majorBidi"/>
        </w:rPr>
        <w:t xml:space="preserve">such extreme values. </w:t>
      </w:r>
    </w:p>
    <w:p w14:paraId="75EC3866" w14:textId="289E1B45" w:rsidR="00760A2C" w:rsidRPr="00101B71" w:rsidRDefault="00760A2C" w:rsidP="00760A2C">
      <w:pPr>
        <w:pStyle w:val="Heading1"/>
      </w:pPr>
      <w:bookmarkStart w:id="5" w:name="_Toc132643763"/>
      <w:r w:rsidRPr="00101B71">
        <w:t>Description of the Variables</w:t>
      </w:r>
      <w:bookmarkEnd w:id="5"/>
    </w:p>
    <w:p w14:paraId="5488F4D1" w14:textId="717F23A0" w:rsidR="00D65A0B" w:rsidRPr="00101B71" w:rsidRDefault="00D65A0B" w:rsidP="00D65A0B">
      <w:r w:rsidRPr="00101B71">
        <w:rPr>
          <w:b/>
          <w:bCs/>
        </w:rPr>
        <w:t>VSTOXX</w:t>
      </w:r>
      <w:r w:rsidRPr="00101B71">
        <w:t xml:space="preserve">: the main dependent variable employed in the study. It is an index of the implied volatility obtained from trading options having as underlying stock prices of the top 50 public companies by market capitalization in the Eurozone.  </w:t>
      </w:r>
    </w:p>
    <w:p w14:paraId="0000D0CA" w14:textId="6A06C459" w:rsidR="00CF2CEA" w:rsidRPr="00101B71" w:rsidRDefault="00CF2CEA" w:rsidP="00CF2CEA">
      <w:r w:rsidRPr="00101B71">
        <w:rPr>
          <w:b/>
          <w:bCs/>
        </w:rPr>
        <w:t>D_v_H</w:t>
      </w:r>
      <w:r w:rsidRPr="00101B71">
        <w:t xml:space="preserve">: a dummy variable capturing the tone of the statement obtained through the classification algorithm introduced in the previous section. It is one of the most important variables in the study since it relates to the first hypothesis. </w:t>
      </w:r>
      <w:r w:rsidR="00C665C4" w:rsidRPr="00101B71">
        <w:t xml:space="preserve">It takes value 1 when the statement is categorized as hawkish and value 0 when the statement is categorized as dovish. </w:t>
      </w:r>
    </w:p>
    <w:p w14:paraId="01BD83FE" w14:textId="7A0FAAB9" w:rsidR="00C665C4" w:rsidRPr="00101B71" w:rsidRDefault="00C665C4" w:rsidP="00CF2CEA">
      <w:r w:rsidRPr="00101B71">
        <w:rPr>
          <w:b/>
          <w:bCs/>
        </w:rPr>
        <w:t>Unexpected Interest Rate</w:t>
      </w:r>
      <w:r w:rsidRPr="00101B71">
        <w:t xml:space="preserve">: a variable generated following </w:t>
      </w:r>
      <w:r w:rsidRPr="00571E0B">
        <w:rPr>
          <w:i/>
        </w:rPr>
        <w:t>equation 2</w:t>
      </w:r>
      <w:r w:rsidRPr="00101B71">
        <w:t xml:space="preserve"> that measures the extent to which market’s expectations were met. A value of 0 means no surprise at all, whereas both positive and negative nonzero values indicate an unanticipated interest rate component that was not </w:t>
      </w:r>
      <w:r w:rsidR="008739A8">
        <w:t>foreseen</w:t>
      </w:r>
      <w:r w:rsidRPr="00101B71">
        <w:t xml:space="preserve"> by market participants. Another useful interpretation is</w:t>
      </w:r>
      <w:r w:rsidR="00D85222" w:rsidRPr="00101B71">
        <w:t>:</w:t>
      </w:r>
      <w:r w:rsidRPr="00101B71">
        <w:t xml:space="preserve"> the higher the absolute value, the higher the surprise component. This is the second most important variable as it explicitly relates to the second hypothesis. </w:t>
      </w:r>
    </w:p>
    <w:p w14:paraId="2482E527" w14:textId="77777777" w:rsidR="00D85222" w:rsidRPr="00101B71" w:rsidRDefault="00C665C4" w:rsidP="00CF2CEA">
      <w:r w:rsidRPr="00101B71">
        <w:rPr>
          <w:b/>
          <w:bCs/>
        </w:rPr>
        <w:t>HCPI Change</w:t>
      </w:r>
      <w:r w:rsidRPr="00101B71">
        <w:t xml:space="preserve">: a variable measuring the </w:t>
      </w:r>
      <w:r w:rsidR="00D85222" w:rsidRPr="00101B71">
        <w:t>change in inflation over months. It is operationalized as the difference in HCPI from the previous month and expressed in percentage terms.</w:t>
      </w:r>
    </w:p>
    <w:p w14:paraId="5955FF88" w14:textId="77777777" w:rsidR="00D85222" w:rsidRPr="00101B71" w:rsidRDefault="00D85222" w:rsidP="00CF2CEA">
      <w:r w:rsidRPr="00101B71">
        <w:rPr>
          <w:b/>
          <w:bCs/>
        </w:rPr>
        <w:t>COVID</w:t>
      </w:r>
      <w:r w:rsidRPr="00101B71">
        <w:t>: a dummy variable signaling the presence in the economy of the homonymous pandemic. It takes value 1 from January 2020 to December 2022.</w:t>
      </w:r>
    </w:p>
    <w:p w14:paraId="51FF8F0B" w14:textId="5FAC7C2F" w:rsidR="00C665C4" w:rsidRPr="00101B71" w:rsidRDefault="00D85222" w:rsidP="00CF2CEA">
      <w:r w:rsidRPr="00101B71">
        <w:rPr>
          <w:b/>
          <w:bCs/>
        </w:rPr>
        <w:t>Germany Manufacturing PMI</w:t>
      </w:r>
      <w:r w:rsidRPr="00101B71">
        <w:t xml:space="preserve">: a variable measuring the producers’ confidence in the Eurozone economy. It is obtained through a survey and measured on a monthly basis. Values above 50 signal confidence in the economy, whereas values below this threshold signal a recession. </w:t>
      </w:r>
    </w:p>
    <w:p w14:paraId="6343785B" w14:textId="19DD7F70" w:rsidR="00760A2C" w:rsidRPr="00101B71" w:rsidRDefault="00D85222" w:rsidP="009B2724">
      <w:r w:rsidRPr="00101B71">
        <w:rPr>
          <w:b/>
          <w:bCs/>
        </w:rPr>
        <w:t>D_Contraction</w:t>
      </w:r>
      <w:r w:rsidRPr="00101B71">
        <w:t xml:space="preserve">: A dummy variable measuring the presence of a contraction in the economy. It takes value 1 for the month in which the PMI is less than 50 and value 0 otherwise. </w:t>
      </w:r>
    </w:p>
    <w:p w14:paraId="5FEBD1AD" w14:textId="14E8AC76" w:rsidR="00760A2C" w:rsidRPr="00101B71" w:rsidRDefault="00760A2C" w:rsidP="00760A2C">
      <w:pPr>
        <w:pStyle w:val="Heading1"/>
      </w:pPr>
      <w:bookmarkStart w:id="6" w:name="_Toc132643764"/>
      <w:r w:rsidRPr="00101B71">
        <w:t>Regression Analysis</w:t>
      </w:r>
      <w:bookmarkEnd w:id="6"/>
    </w:p>
    <w:p w14:paraId="3D2CEE61" w14:textId="4634A737" w:rsidR="00345806" w:rsidRPr="00101B71" w:rsidRDefault="00345806" w:rsidP="00345806">
      <w:pPr>
        <w:ind w:firstLine="0"/>
        <w:rPr>
          <w:rFonts w:asciiTheme="majorHAnsi" w:eastAsiaTheme="majorEastAsia" w:hAnsiTheme="majorHAnsi" w:cstheme="majorBidi"/>
        </w:rPr>
      </w:pPr>
      <w:r w:rsidRPr="00101B71">
        <w:rPr>
          <w:rFonts w:asciiTheme="majorHAnsi" w:eastAsiaTheme="majorEastAsia" w:hAnsiTheme="majorHAnsi" w:cstheme="majorBidi"/>
        </w:rPr>
        <w:tab/>
      </w:r>
      <w:r w:rsidR="00CF2CEA" w:rsidRPr="00101B71">
        <w:rPr>
          <w:rFonts w:asciiTheme="majorHAnsi" w:eastAsiaTheme="majorEastAsia" w:hAnsiTheme="majorHAnsi" w:cstheme="majorBidi"/>
        </w:rPr>
        <w:t xml:space="preserve">This section will outline the main models employed in the analysis, </w:t>
      </w:r>
      <w:r w:rsidR="009B2724" w:rsidRPr="00101B71">
        <w:rPr>
          <w:rFonts w:asciiTheme="majorHAnsi" w:eastAsiaTheme="majorEastAsia" w:hAnsiTheme="majorHAnsi" w:cstheme="majorBidi"/>
        </w:rPr>
        <w:t xml:space="preserve">the reason </w:t>
      </w:r>
      <w:r w:rsidR="00CF2CEA" w:rsidRPr="00101B71">
        <w:rPr>
          <w:rFonts w:asciiTheme="majorHAnsi" w:eastAsiaTheme="majorEastAsia" w:hAnsiTheme="majorHAnsi" w:cstheme="majorBidi"/>
        </w:rPr>
        <w:t>why they were included and an interpretation of the regression coefficients.</w:t>
      </w:r>
    </w:p>
    <w:p w14:paraId="7F8AE2ED" w14:textId="2A2EB79D" w:rsidR="00760A2C" w:rsidRPr="00101B71" w:rsidRDefault="00760A2C" w:rsidP="00760A2C">
      <w:pPr>
        <w:pStyle w:val="Heading2"/>
      </w:pPr>
      <w:bookmarkStart w:id="7" w:name="_Toc132643765"/>
      <w:r w:rsidRPr="00101B71">
        <w:t xml:space="preserve">Preliminary </w:t>
      </w:r>
      <w:r w:rsidR="00CF2CEA" w:rsidRPr="00101B71">
        <w:t xml:space="preserve">Multiple </w:t>
      </w:r>
      <w:r w:rsidRPr="00101B71">
        <w:t>Linear Model</w:t>
      </w:r>
      <w:r w:rsidR="00345806" w:rsidRPr="00101B71">
        <w:t>s</w:t>
      </w:r>
      <w:bookmarkEnd w:id="7"/>
      <w:r w:rsidR="00634276" w:rsidRPr="00101B71">
        <w:t xml:space="preserve"> </w:t>
      </w:r>
    </w:p>
    <w:p w14:paraId="6A33ABE3" w14:textId="32F68419" w:rsidR="0040006D" w:rsidRPr="00101B71" w:rsidRDefault="00634276" w:rsidP="00FE02F9">
      <w:pPr>
        <w:rPr>
          <w:rFonts w:asciiTheme="majorHAnsi" w:eastAsiaTheme="majorEastAsia" w:hAnsiTheme="majorHAnsi" w:cstheme="majorBidi"/>
        </w:rPr>
      </w:pPr>
      <w:r w:rsidRPr="00101B71">
        <w:rPr>
          <w:rFonts w:asciiTheme="majorHAnsi" w:eastAsiaTheme="majorEastAsia" w:hAnsiTheme="majorHAnsi" w:cstheme="majorBidi"/>
        </w:rPr>
        <w:t xml:space="preserve">The </w:t>
      </w:r>
      <w:r w:rsidR="00EE03D3" w:rsidRPr="00101B71">
        <w:rPr>
          <w:rFonts w:asciiTheme="majorHAnsi" w:eastAsiaTheme="majorEastAsia" w:hAnsiTheme="majorHAnsi" w:cstheme="majorBidi"/>
        </w:rPr>
        <w:t>first</w:t>
      </w:r>
      <w:r w:rsidRPr="00101B71">
        <w:rPr>
          <w:rFonts w:asciiTheme="majorHAnsi" w:eastAsiaTheme="majorEastAsia" w:hAnsiTheme="majorHAnsi" w:cstheme="majorBidi"/>
        </w:rPr>
        <w:t xml:space="preserve"> model</w:t>
      </w:r>
      <w:r w:rsidR="00EE03D3" w:rsidRPr="00101B71">
        <w:rPr>
          <w:rFonts w:asciiTheme="majorHAnsi" w:eastAsiaTheme="majorEastAsia" w:hAnsiTheme="majorHAnsi" w:cstheme="majorBidi"/>
        </w:rPr>
        <w:t xml:space="preserve">, shown in the first column of </w:t>
      </w:r>
      <w:r w:rsidR="00CE0810">
        <w:rPr>
          <w:rFonts w:asciiTheme="majorHAnsi" w:eastAsiaTheme="majorEastAsia" w:hAnsiTheme="majorHAnsi" w:cstheme="majorBidi"/>
          <w:i/>
          <w:iCs/>
        </w:rPr>
        <w:t>t</w:t>
      </w:r>
      <w:r w:rsidR="00EE03D3" w:rsidRPr="00101B71">
        <w:rPr>
          <w:rFonts w:asciiTheme="majorHAnsi" w:eastAsiaTheme="majorEastAsia" w:hAnsiTheme="majorHAnsi" w:cstheme="majorBidi"/>
          <w:i/>
          <w:iCs/>
        </w:rPr>
        <w:t>able 1</w:t>
      </w:r>
      <w:r w:rsidR="00EE03D3" w:rsidRPr="00101B71">
        <w:rPr>
          <w:rFonts w:asciiTheme="majorHAnsi" w:eastAsiaTheme="majorEastAsia" w:hAnsiTheme="majorHAnsi" w:cstheme="majorBidi"/>
        </w:rPr>
        <w:t xml:space="preserve">, attempts </w:t>
      </w:r>
      <w:r w:rsidRPr="00101B71">
        <w:rPr>
          <w:rFonts w:asciiTheme="majorHAnsi" w:eastAsiaTheme="majorEastAsia" w:hAnsiTheme="majorHAnsi" w:cstheme="majorBidi"/>
        </w:rPr>
        <w:t xml:space="preserve">to grasp the relationship between volatility and the </w:t>
      </w:r>
      <w:r w:rsidR="009B2724" w:rsidRPr="00101B71">
        <w:rPr>
          <w:rFonts w:asciiTheme="majorHAnsi" w:eastAsiaTheme="majorEastAsia" w:hAnsiTheme="majorHAnsi" w:cstheme="majorBidi"/>
        </w:rPr>
        <w:t xml:space="preserve">tone of the statement. </w:t>
      </w:r>
      <w:r w:rsidR="00EE03D3" w:rsidRPr="00101B71">
        <w:rPr>
          <w:rFonts w:asciiTheme="majorHAnsi" w:eastAsiaTheme="majorEastAsia" w:hAnsiTheme="majorHAnsi" w:cstheme="majorBidi"/>
        </w:rPr>
        <w:t xml:space="preserve">As it can be observed from the negative coefficient, the hypothesis that the more </w:t>
      </w:r>
      <w:r w:rsidR="009D3BEB">
        <w:rPr>
          <w:rFonts w:asciiTheme="majorHAnsi" w:eastAsiaTheme="majorEastAsia" w:hAnsiTheme="majorHAnsi" w:cstheme="majorBidi"/>
        </w:rPr>
        <w:t>hawkish</w:t>
      </w:r>
      <w:r w:rsidR="00EE03D3" w:rsidRPr="00101B71">
        <w:rPr>
          <w:rFonts w:asciiTheme="majorHAnsi" w:eastAsiaTheme="majorEastAsia" w:hAnsiTheme="majorHAnsi" w:cstheme="majorBidi"/>
        </w:rPr>
        <w:t xml:space="preserve"> a statement is the mor</w:t>
      </w:r>
      <w:r w:rsidR="00FE02F9" w:rsidRPr="00101B71">
        <w:rPr>
          <w:rFonts w:asciiTheme="majorHAnsi" w:eastAsiaTheme="majorEastAsia" w:hAnsiTheme="majorHAnsi" w:cstheme="majorBidi"/>
        </w:rPr>
        <w:t>e volatility will be generated in the market does not find support in this model.</w:t>
      </w:r>
      <w:r w:rsidR="0040006D" w:rsidRPr="00101B71">
        <w:rPr>
          <w:rFonts w:asciiTheme="majorHAnsi" w:eastAsiaTheme="majorEastAsia" w:hAnsiTheme="majorHAnsi" w:cstheme="majorBidi"/>
        </w:rPr>
        <w:t xml:space="preserve"> The negative coefficient is retained throughout all linear models.</w:t>
      </w:r>
      <w:r w:rsidR="00FE02F9" w:rsidRPr="00101B71">
        <w:rPr>
          <w:rFonts w:asciiTheme="majorHAnsi" w:eastAsiaTheme="majorEastAsia" w:hAnsiTheme="majorHAnsi" w:cstheme="majorBidi"/>
        </w:rPr>
        <w:t xml:space="preserve"> </w:t>
      </w:r>
      <w:r w:rsidR="0040006D" w:rsidRPr="00101B71">
        <w:rPr>
          <w:rFonts w:asciiTheme="majorHAnsi" w:eastAsiaTheme="majorEastAsia" w:hAnsiTheme="majorHAnsi" w:cstheme="majorBidi"/>
        </w:rPr>
        <w:t>A follow-up analysis will show how it interacts with the COVID</w:t>
      </w:r>
      <w:r w:rsidR="004375EA">
        <w:rPr>
          <w:rFonts w:asciiTheme="majorHAnsi" w:eastAsiaTheme="majorEastAsia" w:hAnsiTheme="majorHAnsi" w:cstheme="majorBidi"/>
        </w:rPr>
        <w:t>-19</w:t>
      </w:r>
      <w:r w:rsidR="0040006D" w:rsidRPr="00101B71">
        <w:rPr>
          <w:rFonts w:asciiTheme="majorHAnsi" w:eastAsiaTheme="majorEastAsia" w:hAnsiTheme="majorHAnsi" w:cstheme="majorBidi"/>
        </w:rPr>
        <w:t xml:space="preserve"> period, but for now let us focus on the other variable of interest: the unexpected change in interest rate. </w:t>
      </w:r>
    </w:p>
    <w:p w14:paraId="43592D70" w14:textId="1F80078B" w:rsidR="00FE02F9" w:rsidRPr="00101B71" w:rsidRDefault="0040006D" w:rsidP="00FE02F9">
      <w:pPr>
        <w:rPr>
          <w:rFonts w:asciiTheme="majorHAnsi" w:eastAsiaTheme="majorEastAsia" w:hAnsiTheme="majorHAnsi" w:cstheme="majorBidi"/>
        </w:rPr>
      </w:pPr>
      <w:r w:rsidRPr="00101B71">
        <w:rPr>
          <w:rFonts w:asciiTheme="majorHAnsi" w:eastAsiaTheme="majorEastAsia" w:hAnsiTheme="majorHAnsi" w:cstheme="majorBidi"/>
        </w:rPr>
        <w:t xml:space="preserve">Contrary </w:t>
      </w:r>
      <w:r w:rsidR="007E2FB7" w:rsidRPr="00101B71">
        <w:rPr>
          <w:rFonts w:asciiTheme="majorHAnsi" w:eastAsiaTheme="majorEastAsia" w:hAnsiTheme="majorHAnsi" w:cstheme="majorBidi"/>
        </w:rPr>
        <w:t>to</w:t>
      </w:r>
      <w:r w:rsidRPr="00101B71">
        <w:rPr>
          <w:rFonts w:asciiTheme="majorHAnsi" w:eastAsiaTheme="majorEastAsia" w:hAnsiTheme="majorHAnsi" w:cstheme="majorBidi"/>
        </w:rPr>
        <w:t xml:space="preserve"> the first hypothesis, the second one </w:t>
      </w:r>
      <w:r w:rsidR="00A75AFD" w:rsidRPr="00101B71">
        <w:rPr>
          <w:rFonts w:asciiTheme="majorHAnsi" w:eastAsiaTheme="majorEastAsia" w:hAnsiTheme="majorHAnsi" w:cstheme="majorBidi"/>
        </w:rPr>
        <w:t xml:space="preserve">is supported </w:t>
      </w:r>
      <w:r w:rsidRPr="00101B71">
        <w:rPr>
          <w:rFonts w:asciiTheme="majorHAnsi" w:eastAsiaTheme="majorEastAsia" w:hAnsiTheme="majorHAnsi" w:cstheme="majorBidi"/>
        </w:rPr>
        <w:t xml:space="preserve">when looking at the regression results. Indeed, the statistically significant coefficient </w:t>
      </w:r>
      <w:r w:rsidR="00A17D97" w:rsidRPr="00101B71">
        <w:rPr>
          <w:rFonts w:asciiTheme="majorHAnsi" w:eastAsiaTheme="majorEastAsia" w:hAnsiTheme="majorHAnsi" w:cstheme="majorBidi"/>
        </w:rPr>
        <w:t xml:space="preserve">associated </w:t>
      </w:r>
      <w:r w:rsidR="00261158">
        <w:rPr>
          <w:rFonts w:asciiTheme="majorHAnsi" w:eastAsiaTheme="majorEastAsia" w:hAnsiTheme="majorHAnsi" w:cstheme="majorBidi"/>
        </w:rPr>
        <w:t>with</w:t>
      </w:r>
      <w:r w:rsidRPr="00101B71">
        <w:rPr>
          <w:rFonts w:asciiTheme="majorHAnsi" w:eastAsiaTheme="majorEastAsia" w:hAnsiTheme="majorHAnsi" w:cstheme="majorBidi"/>
        </w:rPr>
        <w:t xml:space="preserve"> </w:t>
      </w:r>
      <w:r w:rsidR="008F5581" w:rsidRPr="00101B71">
        <w:rPr>
          <w:rFonts w:asciiTheme="majorHAnsi" w:eastAsiaTheme="majorEastAsia" w:hAnsiTheme="majorHAnsi" w:cstheme="majorBidi"/>
        </w:rPr>
        <w:t>surprise</w:t>
      </w:r>
      <w:r w:rsidRPr="00101B71">
        <w:rPr>
          <w:rFonts w:asciiTheme="majorHAnsi" w:eastAsiaTheme="majorEastAsia" w:hAnsiTheme="majorHAnsi" w:cstheme="majorBidi"/>
        </w:rPr>
        <w:t xml:space="preserve"> </w:t>
      </w:r>
      <w:r w:rsidR="008F5581" w:rsidRPr="00101B71">
        <w:rPr>
          <w:rFonts w:asciiTheme="majorHAnsi" w:eastAsiaTheme="majorEastAsia" w:hAnsiTheme="majorHAnsi" w:cstheme="majorBidi"/>
        </w:rPr>
        <w:t>interest rate changes</w:t>
      </w:r>
      <w:r w:rsidRPr="00101B71">
        <w:rPr>
          <w:rFonts w:asciiTheme="majorHAnsi" w:eastAsiaTheme="majorEastAsia" w:hAnsiTheme="majorHAnsi" w:cstheme="majorBidi"/>
        </w:rPr>
        <w:t xml:space="preserve"> hints at a positive relationship between t</w:t>
      </w:r>
      <w:r w:rsidR="00D65A0B" w:rsidRPr="00101B71">
        <w:rPr>
          <w:rFonts w:asciiTheme="majorHAnsi" w:eastAsiaTheme="majorEastAsia" w:hAnsiTheme="majorHAnsi" w:cstheme="majorBidi"/>
        </w:rPr>
        <w:t>he unexpected component of interest rates and equity market volatility, as</w:t>
      </w:r>
      <w:r w:rsidR="007E2FB7" w:rsidRPr="00101B71">
        <w:rPr>
          <w:rFonts w:asciiTheme="majorHAnsi" w:eastAsiaTheme="majorEastAsia" w:hAnsiTheme="majorHAnsi" w:cstheme="majorBidi"/>
        </w:rPr>
        <w:t xml:space="preserve"> measured by the VSTOXX index</w:t>
      </w:r>
      <w:r w:rsidR="00D65A0B" w:rsidRPr="00101B71">
        <w:rPr>
          <w:rFonts w:asciiTheme="majorHAnsi" w:eastAsiaTheme="majorEastAsia" w:hAnsiTheme="majorHAnsi" w:cstheme="majorBidi"/>
        </w:rPr>
        <w:t>.</w:t>
      </w:r>
      <w:r w:rsidR="007E2FB7" w:rsidRPr="00101B71">
        <w:rPr>
          <w:rFonts w:asciiTheme="majorHAnsi" w:eastAsiaTheme="majorEastAsia" w:hAnsiTheme="majorHAnsi" w:cstheme="majorBidi"/>
        </w:rPr>
        <w:t xml:space="preserve"> Also in this case, the positive relationship is retained across models. </w:t>
      </w:r>
    </w:p>
    <w:p w14:paraId="6D8AE203" w14:textId="253BCABD" w:rsidR="0021419A" w:rsidRPr="00101B71" w:rsidRDefault="0021419A" w:rsidP="00FE02F9">
      <w:pPr>
        <w:rPr>
          <w:rFonts w:asciiTheme="majorHAnsi" w:eastAsiaTheme="majorEastAsia" w:hAnsiTheme="majorHAnsi" w:cstheme="majorBidi"/>
        </w:rPr>
      </w:pPr>
      <w:r w:rsidRPr="00101B71">
        <w:rPr>
          <w:rFonts w:asciiTheme="majorHAnsi" w:eastAsiaTheme="majorEastAsia" w:hAnsiTheme="majorHAnsi" w:cstheme="majorBidi"/>
        </w:rPr>
        <w:t xml:space="preserve">Models from 3 to 5 analyze the </w:t>
      </w:r>
      <w:r w:rsidR="003748D1" w:rsidRPr="00101B71">
        <w:rPr>
          <w:rFonts w:asciiTheme="majorHAnsi" w:eastAsiaTheme="majorEastAsia" w:hAnsiTheme="majorHAnsi" w:cstheme="majorBidi"/>
        </w:rPr>
        <w:t xml:space="preserve">impact of macro fundamentals such as inflation </w:t>
      </w:r>
      <w:r w:rsidR="00BE5D58" w:rsidRPr="00101B71">
        <w:rPr>
          <w:rFonts w:asciiTheme="majorHAnsi" w:eastAsiaTheme="majorEastAsia" w:hAnsiTheme="majorHAnsi" w:cstheme="majorBidi"/>
        </w:rPr>
        <w:t xml:space="preserve">(HCPI) </w:t>
      </w:r>
      <w:r w:rsidR="003748D1" w:rsidRPr="00101B71">
        <w:rPr>
          <w:rFonts w:asciiTheme="majorHAnsi" w:eastAsiaTheme="majorEastAsia" w:hAnsiTheme="majorHAnsi" w:cstheme="majorBidi"/>
        </w:rPr>
        <w:t xml:space="preserve">and </w:t>
      </w:r>
      <w:r w:rsidR="00BE5D58" w:rsidRPr="00101B71">
        <w:rPr>
          <w:rFonts w:asciiTheme="majorHAnsi" w:eastAsiaTheme="majorEastAsia" w:hAnsiTheme="majorHAnsi" w:cstheme="majorBidi"/>
        </w:rPr>
        <w:t>contro</w:t>
      </w:r>
      <w:r w:rsidR="00844FED">
        <w:rPr>
          <w:rFonts w:asciiTheme="majorHAnsi" w:eastAsiaTheme="majorEastAsia" w:hAnsiTheme="majorHAnsi" w:cstheme="majorBidi"/>
        </w:rPr>
        <w:t>l</w:t>
      </w:r>
      <w:r w:rsidR="00BE5D58" w:rsidRPr="00101B71">
        <w:rPr>
          <w:rFonts w:asciiTheme="majorHAnsi" w:eastAsiaTheme="majorEastAsia" w:hAnsiTheme="majorHAnsi" w:cstheme="majorBidi"/>
        </w:rPr>
        <w:t xml:space="preserve"> for </w:t>
      </w:r>
      <w:r w:rsidR="008B5DB9" w:rsidRPr="00101B71">
        <w:rPr>
          <w:rFonts w:asciiTheme="majorHAnsi" w:eastAsiaTheme="majorEastAsia" w:hAnsiTheme="majorHAnsi" w:cstheme="majorBidi"/>
        </w:rPr>
        <w:t xml:space="preserve">investors’ expectations on the economy through the PMI index. </w:t>
      </w:r>
      <w:r w:rsidR="00FB7462" w:rsidRPr="00101B71">
        <w:rPr>
          <w:rFonts w:asciiTheme="majorHAnsi" w:eastAsiaTheme="majorEastAsia" w:hAnsiTheme="majorHAnsi" w:cstheme="majorBidi"/>
        </w:rPr>
        <w:t xml:space="preserve">From model 5 </w:t>
      </w:r>
      <w:r w:rsidR="00693EF9" w:rsidRPr="00101B71">
        <w:rPr>
          <w:rFonts w:asciiTheme="majorHAnsi" w:eastAsiaTheme="majorEastAsia" w:hAnsiTheme="majorHAnsi" w:cstheme="majorBidi"/>
        </w:rPr>
        <w:t xml:space="preserve">it is learned that </w:t>
      </w:r>
      <w:r w:rsidR="00A552BC" w:rsidRPr="00101B71">
        <w:rPr>
          <w:rFonts w:asciiTheme="majorHAnsi" w:eastAsiaTheme="majorEastAsia" w:hAnsiTheme="majorHAnsi" w:cstheme="majorBidi"/>
        </w:rPr>
        <w:t>inflation</w:t>
      </w:r>
      <w:r w:rsidR="00693EF9" w:rsidRPr="00101B71">
        <w:rPr>
          <w:rFonts w:asciiTheme="majorHAnsi" w:eastAsiaTheme="majorEastAsia" w:hAnsiTheme="majorHAnsi" w:cstheme="majorBidi"/>
        </w:rPr>
        <w:t xml:space="preserve"> is inversely correlated to </w:t>
      </w:r>
      <w:r w:rsidR="005C7BF5" w:rsidRPr="00101B71">
        <w:rPr>
          <w:rFonts w:asciiTheme="majorHAnsi" w:eastAsiaTheme="majorEastAsia" w:hAnsiTheme="majorHAnsi" w:cstheme="majorBidi"/>
        </w:rPr>
        <w:t>volatility</w:t>
      </w:r>
      <w:r w:rsidR="00A552BC" w:rsidRPr="00101B71">
        <w:rPr>
          <w:rFonts w:asciiTheme="majorHAnsi" w:eastAsiaTheme="majorEastAsia" w:hAnsiTheme="majorHAnsi" w:cstheme="majorBidi"/>
        </w:rPr>
        <w:t xml:space="preserve">. </w:t>
      </w:r>
      <w:r w:rsidR="006F3775" w:rsidRPr="00101B71">
        <w:rPr>
          <w:rFonts w:asciiTheme="majorHAnsi" w:eastAsiaTheme="majorEastAsia" w:hAnsiTheme="majorHAnsi" w:cstheme="majorBidi"/>
        </w:rPr>
        <w:t>Despite</w:t>
      </w:r>
      <w:r w:rsidR="006942E7" w:rsidRPr="00101B71">
        <w:rPr>
          <w:rFonts w:asciiTheme="majorHAnsi" w:eastAsiaTheme="majorEastAsia" w:hAnsiTheme="majorHAnsi" w:cstheme="majorBidi"/>
        </w:rPr>
        <w:t xml:space="preserve"> </w:t>
      </w:r>
      <w:r w:rsidR="006F3775" w:rsidRPr="00101B71">
        <w:rPr>
          <w:rFonts w:asciiTheme="majorHAnsi" w:eastAsiaTheme="majorEastAsia" w:hAnsiTheme="majorHAnsi" w:cstheme="majorBidi"/>
        </w:rPr>
        <w:t xml:space="preserve">being </w:t>
      </w:r>
      <w:r w:rsidR="00112F81" w:rsidRPr="00101B71">
        <w:rPr>
          <w:rFonts w:asciiTheme="majorHAnsi" w:eastAsiaTheme="majorEastAsia" w:hAnsiTheme="majorHAnsi" w:cstheme="majorBidi"/>
        </w:rPr>
        <w:t>beyond the scope of the current study</w:t>
      </w:r>
      <w:r w:rsidR="006942E7" w:rsidRPr="00101B71">
        <w:rPr>
          <w:rFonts w:asciiTheme="majorHAnsi" w:eastAsiaTheme="majorEastAsia" w:hAnsiTheme="majorHAnsi" w:cstheme="majorBidi"/>
        </w:rPr>
        <w:t xml:space="preserve">, this </w:t>
      </w:r>
      <w:r w:rsidR="00112F81" w:rsidRPr="00101B71">
        <w:rPr>
          <w:rFonts w:asciiTheme="majorHAnsi" w:eastAsiaTheme="majorEastAsia" w:hAnsiTheme="majorHAnsi" w:cstheme="majorBidi"/>
        </w:rPr>
        <w:t xml:space="preserve">result can be interpreted as </w:t>
      </w:r>
      <w:r w:rsidR="006F3775" w:rsidRPr="00101B71">
        <w:rPr>
          <w:rFonts w:asciiTheme="majorHAnsi" w:eastAsiaTheme="majorEastAsia" w:hAnsiTheme="majorHAnsi" w:cstheme="majorBidi"/>
        </w:rPr>
        <w:t xml:space="preserve">further </w:t>
      </w:r>
      <w:r w:rsidR="00F51A86" w:rsidRPr="00101B71">
        <w:rPr>
          <w:rFonts w:asciiTheme="majorHAnsi" w:eastAsiaTheme="majorEastAsia" w:hAnsiTheme="majorHAnsi" w:cstheme="majorBidi"/>
        </w:rPr>
        <w:t>empirical evidence</w:t>
      </w:r>
      <w:r w:rsidR="00112F81" w:rsidRPr="00101B71">
        <w:rPr>
          <w:rFonts w:asciiTheme="majorHAnsi" w:eastAsiaTheme="majorEastAsia" w:hAnsiTheme="majorHAnsi" w:cstheme="majorBidi"/>
        </w:rPr>
        <w:t xml:space="preserve"> </w:t>
      </w:r>
      <w:r w:rsidR="006F3775" w:rsidRPr="00101B71">
        <w:rPr>
          <w:rFonts w:asciiTheme="majorHAnsi" w:eastAsiaTheme="majorEastAsia" w:hAnsiTheme="majorHAnsi" w:cstheme="majorBidi"/>
        </w:rPr>
        <w:t xml:space="preserve">of </w:t>
      </w:r>
      <w:r w:rsidR="00FA6EE4" w:rsidRPr="00101B71">
        <w:rPr>
          <w:rFonts w:asciiTheme="majorHAnsi" w:eastAsiaTheme="majorEastAsia" w:hAnsiTheme="majorHAnsi" w:cstheme="majorBidi"/>
        </w:rPr>
        <w:t>the price stickiness theory</w:t>
      </w:r>
      <w:r w:rsidR="00DA2F41" w:rsidRPr="00101B71">
        <w:rPr>
          <w:rFonts w:asciiTheme="majorHAnsi" w:eastAsiaTheme="majorEastAsia" w:hAnsiTheme="majorHAnsi" w:cstheme="majorBidi"/>
        </w:rPr>
        <w:t xml:space="preserve"> first suggested by </w:t>
      </w:r>
      <w:r w:rsidR="00C82A40" w:rsidRPr="00101B71">
        <w:rPr>
          <w:rFonts w:asciiTheme="majorHAnsi" w:eastAsiaTheme="majorEastAsia" w:hAnsiTheme="majorHAnsi" w:cstheme="majorBidi"/>
        </w:rPr>
        <w:t xml:space="preserve">Ball and Mankiw </w:t>
      </w:r>
      <w:r w:rsidR="00F51A86" w:rsidRPr="00101B71">
        <w:rPr>
          <w:rFonts w:asciiTheme="majorHAnsi" w:eastAsiaTheme="majorEastAsia" w:hAnsiTheme="majorHAnsi" w:cstheme="majorBidi"/>
        </w:rPr>
        <w:t>(1995). Ac</w:t>
      </w:r>
      <w:r w:rsidR="00821E43" w:rsidRPr="00101B71">
        <w:rPr>
          <w:rFonts w:asciiTheme="majorHAnsi" w:eastAsiaTheme="majorEastAsia" w:hAnsiTheme="majorHAnsi" w:cstheme="majorBidi"/>
        </w:rPr>
        <w:t xml:space="preserve">cording to this </w:t>
      </w:r>
      <w:r w:rsidR="00211D0D" w:rsidRPr="00101B71">
        <w:rPr>
          <w:rFonts w:asciiTheme="majorHAnsi" w:eastAsiaTheme="majorEastAsia" w:hAnsiTheme="majorHAnsi" w:cstheme="majorBidi"/>
        </w:rPr>
        <w:t xml:space="preserve">theory, prices take </w:t>
      </w:r>
      <w:r w:rsidR="00210D16" w:rsidRPr="00101B71">
        <w:rPr>
          <w:rFonts w:asciiTheme="majorHAnsi" w:eastAsiaTheme="majorEastAsia" w:hAnsiTheme="majorHAnsi" w:cstheme="majorBidi"/>
        </w:rPr>
        <w:t xml:space="preserve">a longer </w:t>
      </w:r>
      <w:r w:rsidR="00211D0D" w:rsidRPr="00101B71">
        <w:rPr>
          <w:rFonts w:asciiTheme="majorHAnsi" w:eastAsiaTheme="majorEastAsia" w:hAnsiTheme="majorHAnsi" w:cstheme="majorBidi"/>
        </w:rPr>
        <w:t xml:space="preserve">time to adjust </w:t>
      </w:r>
      <w:r w:rsidR="00210D16" w:rsidRPr="00101B71">
        <w:rPr>
          <w:rFonts w:asciiTheme="majorHAnsi" w:eastAsiaTheme="majorEastAsia" w:hAnsiTheme="majorHAnsi" w:cstheme="majorBidi"/>
        </w:rPr>
        <w:t xml:space="preserve">to shifts of the demand and supply curves </w:t>
      </w:r>
      <w:r w:rsidR="00211D0D" w:rsidRPr="00101B71">
        <w:rPr>
          <w:rFonts w:asciiTheme="majorHAnsi" w:eastAsiaTheme="majorEastAsia" w:hAnsiTheme="majorHAnsi" w:cstheme="majorBidi"/>
        </w:rPr>
        <w:t>and</w:t>
      </w:r>
      <w:r w:rsidR="00210D16" w:rsidRPr="00101B71">
        <w:rPr>
          <w:rFonts w:asciiTheme="majorHAnsi" w:eastAsiaTheme="majorEastAsia" w:hAnsiTheme="majorHAnsi" w:cstheme="majorBidi"/>
        </w:rPr>
        <w:t>,</w:t>
      </w:r>
      <w:r w:rsidR="00211D0D" w:rsidRPr="00101B71">
        <w:rPr>
          <w:rFonts w:asciiTheme="majorHAnsi" w:eastAsiaTheme="majorEastAsia" w:hAnsiTheme="majorHAnsi" w:cstheme="majorBidi"/>
        </w:rPr>
        <w:t xml:space="preserve"> therefore</w:t>
      </w:r>
      <w:r w:rsidR="00210D16" w:rsidRPr="00101B71">
        <w:rPr>
          <w:rFonts w:asciiTheme="majorHAnsi" w:eastAsiaTheme="majorEastAsia" w:hAnsiTheme="majorHAnsi" w:cstheme="majorBidi"/>
        </w:rPr>
        <w:t>,</w:t>
      </w:r>
      <w:r w:rsidR="00211D0D" w:rsidRPr="00101B71">
        <w:rPr>
          <w:rFonts w:asciiTheme="majorHAnsi" w:eastAsiaTheme="majorEastAsia" w:hAnsiTheme="majorHAnsi" w:cstheme="majorBidi"/>
        </w:rPr>
        <w:t xml:space="preserve"> </w:t>
      </w:r>
      <w:r w:rsidR="00096CF4" w:rsidRPr="00101B71">
        <w:rPr>
          <w:rFonts w:asciiTheme="majorHAnsi" w:eastAsiaTheme="majorEastAsia" w:hAnsiTheme="majorHAnsi" w:cstheme="majorBidi"/>
        </w:rPr>
        <w:t xml:space="preserve">inflation in one period might not necessarily imply </w:t>
      </w:r>
      <w:r w:rsidR="00210D16" w:rsidRPr="00101B71">
        <w:rPr>
          <w:rFonts w:asciiTheme="majorHAnsi" w:eastAsiaTheme="majorEastAsia" w:hAnsiTheme="majorHAnsi" w:cstheme="majorBidi"/>
        </w:rPr>
        <w:t>huge price swings</w:t>
      </w:r>
      <w:r w:rsidR="00F51A86" w:rsidRPr="00101B71">
        <w:rPr>
          <w:rFonts w:asciiTheme="majorHAnsi" w:eastAsiaTheme="majorEastAsia" w:hAnsiTheme="majorHAnsi" w:cstheme="majorBidi"/>
        </w:rPr>
        <w:t xml:space="preserve">. </w:t>
      </w:r>
      <w:r w:rsidR="00A552BC" w:rsidRPr="00101B71">
        <w:rPr>
          <w:rFonts w:asciiTheme="majorHAnsi" w:eastAsiaTheme="majorEastAsia" w:hAnsiTheme="majorHAnsi" w:cstheme="majorBidi"/>
        </w:rPr>
        <w:t xml:space="preserve">On the other hand, </w:t>
      </w:r>
      <w:r w:rsidR="00AA3F9C" w:rsidRPr="00101B71">
        <w:rPr>
          <w:rFonts w:asciiTheme="majorHAnsi" w:eastAsiaTheme="majorEastAsia" w:hAnsiTheme="majorHAnsi" w:cstheme="majorBidi"/>
        </w:rPr>
        <w:t xml:space="preserve">PMI is not a statistically significant predictor of volatility. </w:t>
      </w:r>
    </w:p>
    <w:p w14:paraId="5C76DCE9" w14:textId="2ED831F8" w:rsidR="00B526B1" w:rsidRPr="00101B71" w:rsidRDefault="00832518" w:rsidP="00C2084E">
      <w:pPr>
        <w:rPr>
          <w:rFonts w:asciiTheme="majorHAnsi" w:eastAsiaTheme="majorEastAsia" w:hAnsiTheme="majorHAnsi" w:cstheme="majorBidi"/>
        </w:rPr>
      </w:pPr>
      <w:bookmarkStart w:id="8" w:name="_Toc132643766"/>
      <w:r w:rsidRPr="00101B71">
        <w:rPr>
          <w:rStyle w:val="Heading3Char"/>
        </w:rPr>
        <w:t xml:space="preserve">Diagnostics of </w:t>
      </w:r>
      <w:r w:rsidR="00B526B1" w:rsidRPr="00101B71">
        <w:rPr>
          <w:rStyle w:val="Heading3Char"/>
        </w:rPr>
        <w:t>Preliminary Models</w:t>
      </w:r>
      <w:r w:rsidR="00660DBB" w:rsidRPr="00101B71">
        <w:rPr>
          <w:rStyle w:val="Heading3Char"/>
        </w:rPr>
        <w:t>.</w:t>
      </w:r>
      <w:bookmarkEnd w:id="8"/>
      <w:r w:rsidR="00B526B1" w:rsidRPr="00101B71">
        <w:t xml:space="preserve"> </w:t>
      </w:r>
      <w:r w:rsidR="00660DBB" w:rsidRPr="00101B71">
        <w:rPr>
          <w:rFonts w:asciiTheme="majorHAnsi" w:eastAsiaTheme="majorEastAsia" w:hAnsiTheme="majorHAnsi" w:cstheme="majorBidi"/>
        </w:rPr>
        <w:t xml:space="preserve">Despite the consistent results obtained across models they all suffered from residual autocorrelation. As it can be observed from </w:t>
      </w:r>
      <w:r w:rsidR="00660DBB" w:rsidRPr="00101B71">
        <w:rPr>
          <w:rFonts w:asciiTheme="majorHAnsi" w:eastAsiaTheme="majorEastAsia" w:hAnsiTheme="majorHAnsi" w:cstheme="majorBidi"/>
          <w:i/>
          <w:iCs/>
        </w:rPr>
        <w:t>Figure 2</w:t>
      </w:r>
      <w:r w:rsidR="00660DBB" w:rsidRPr="00101B71">
        <w:rPr>
          <w:rFonts w:asciiTheme="majorHAnsi" w:eastAsiaTheme="majorEastAsia" w:hAnsiTheme="majorHAnsi" w:cstheme="majorBidi"/>
        </w:rPr>
        <w:t>, there is a significant positive autocorrelation between residuals up to the 6</w:t>
      </w:r>
      <w:r w:rsidR="00660DBB" w:rsidRPr="00101B71">
        <w:rPr>
          <w:rFonts w:asciiTheme="majorHAnsi" w:eastAsiaTheme="majorEastAsia" w:hAnsiTheme="majorHAnsi" w:cstheme="majorBidi"/>
          <w:vertAlign w:val="superscript"/>
        </w:rPr>
        <w:t>th</w:t>
      </w:r>
      <w:r w:rsidR="00660DBB" w:rsidRPr="00101B71">
        <w:rPr>
          <w:rFonts w:asciiTheme="majorHAnsi" w:eastAsiaTheme="majorEastAsia" w:hAnsiTheme="majorHAnsi" w:cstheme="majorBidi"/>
        </w:rPr>
        <w:t xml:space="preserve"> lag. However, this trend seems to get weaker the higher the number of lags. For this reason, the following models provide autocorrelation-robust standard errors computed following the Newey-West correction with a lag of 1. </w:t>
      </w:r>
    </w:p>
    <w:p w14:paraId="05B62758" w14:textId="125B6F93" w:rsidR="00760A2C" w:rsidRPr="00101B71" w:rsidRDefault="00760A2C" w:rsidP="00760A2C">
      <w:pPr>
        <w:pStyle w:val="Heading2"/>
      </w:pPr>
      <w:bookmarkStart w:id="9" w:name="_Toc132643767"/>
      <w:r w:rsidRPr="00101B71">
        <w:t>Final Model</w:t>
      </w:r>
      <w:bookmarkEnd w:id="9"/>
    </w:p>
    <w:p w14:paraId="7B516C2F" w14:textId="64DF5226" w:rsidR="009C46AD" w:rsidRPr="00F26CC3" w:rsidRDefault="003E37D6" w:rsidP="00F26CC3">
      <w:r w:rsidRPr="00101B71">
        <w:t>The final model</w:t>
      </w:r>
      <w:r w:rsidR="00C26815" w:rsidRPr="00101B71">
        <w:t>,</w:t>
      </w:r>
      <w:r w:rsidRPr="00101B71">
        <w:t xml:space="preserve"> </w:t>
      </w:r>
      <w:r w:rsidR="00C26815" w:rsidRPr="00101B71">
        <w:t xml:space="preserve">shown in </w:t>
      </w:r>
      <w:r w:rsidR="00DA394D">
        <w:t>c</w:t>
      </w:r>
      <w:r w:rsidR="00DC1AD8" w:rsidRPr="00101B71">
        <w:t xml:space="preserve">olumn 5 of </w:t>
      </w:r>
      <w:r w:rsidR="00DA394D">
        <w:rPr>
          <w:i/>
          <w:iCs/>
        </w:rPr>
        <w:t>t</w:t>
      </w:r>
      <w:r w:rsidR="008777B1" w:rsidRPr="00101B71">
        <w:rPr>
          <w:i/>
          <w:iCs/>
        </w:rPr>
        <w:t>able 2</w:t>
      </w:r>
      <w:r w:rsidR="008777B1" w:rsidRPr="00101B71">
        <w:t xml:space="preserve">, </w:t>
      </w:r>
      <w:r w:rsidRPr="00101B71">
        <w:t>correct</w:t>
      </w:r>
      <w:r w:rsidR="00DC1AD8" w:rsidRPr="00101B71">
        <w:t>s</w:t>
      </w:r>
      <w:r w:rsidRPr="00101B71">
        <w:t xml:space="preserve"> for autocorrelation </w:t>
      </w:r>
      <w:r w:rsidR="00E05BF2" w:rsidRPr="00101B71">
        <w:t xml:space="preserve">and all </w:t>
      </w:r>
      <w:r w:rsidR="003E5DB0" w:rsidRPr="00101B71">
        <w:t xml:space="preserve">previously significant coefficient remain so also in this specification. </w:t>
      </w:r>
      <w:r w:rsidR="008A00A9">
        <w:t>W</w:t>
      </w:r>
      <w:r w:rsidR="008708B9" w:rsidRPr="00101B71">
        <w:t>hen adjusting for autocorrelation the hawkishness of the statement remains negatively correlated to</w:t>
      </w:r>
      <w:r w:rsidR="009D60FF" w:rsidRPr="00101B71">
        <w:t xml:space="preserve"> volatility. </w:t>
      </w:r>
      <w:r w:rsidR="007A175A" w:rsidRPr="00101B71">
        <w:t>The surprise component of monetary policies is still a positive and</w:t>
      </w:r>
      <w:r w:rsidR="001726E6" w:rsidRPr="00101B71">
        <w:t xml:space="preserve"> highly</w:t>
      </w:r>
      <w:r w:rsidR="007A175A" w:rsidRPr="00101B71">
        <w:t xml:space="preserve"> significant predictor of volatility</w:t>
      </w:r>
      <w:r w:rsidR="007D6239" w:rsidRPr="00101B71">
        <w:t xml:space="preserve">. </w:t>
      </w:r>
    </w:p>
    <w:p w14:paraId="3D4BF997" w14:textId="1583C60C" w:rsidR="00760A2C" w:rsidRPr="00101B71" w:rsidRDefault="00760A2C" w:rsidP="00CF296D">
      <w:pPr>
        <w:pStyle w:val="Heading2"/>
      </w:pPr>
      <w:bookmarkStart w:id="10" w:name="_Toc132643768"/>
      <w:r w:rsidRPr="00101B71">
        <w:t>Interpretation of the Regression Results</w:t>
      </w:r>
      <w:bookmarkEnd w:id="10"/>
    </w:p>
    <w:p w14:paraId="5350676B" w14:textId="77777777" w:rsidR="004F30A1" w:rsidRPr="00101B71" w:rsidRDefault="008F5E22" w:rsidP="00CF296D">
      <w:r w:rsidRPr="00101B71">
        <w:t xml:space="preserve">The OLS estimates </w:t>
      </w:r>
      <w:r w:rsidR="004F30A1" w:rsidRPr="00101B71">
        <w:t>yielded the following coefficients:</w:t>
      </w:r>
    </w:p>
    <w:p w14:paraId="16CB0503" w14:textId="734DD203" w:rsidR="00B91299" w:rsidRPr="00101B71" w:rsidRDefault="007F24D4" w:rsidP="00B91299">
      <m:oMathPara>
        <m:oMath>
          <m:sSub>
            <m:sSubPr>
              <m:ctrlPr>
                <w:rPr>
                  <w:rFonts w:ascii="Cambria Math" w:hAnsi="Cambria Math"/>
                  <w:i/>
                </w:rPr>
              </m:ctrlPr>
            </m:sSubPr>
            <m:e>
              <m:r>
                <w:rPr>
                  <w:rFonts w:ascii="Cambria Math" w:hAnsi="Cambria Math"/>
                </w:rPr>
                <m:t>VSTOXX</m:t>
              </m:r>
            </m:e>
            <m:sub>
              <m:r>
                <w:rPr>
                  <w:rFonts w:ascii="Cambria Math" w:hAnsi="Cambria Math"/>
                </w:rPr>
                <m:t>t</m:t>
              </m:r>
            </m:sub>
          </m:sSub>
          <m:r>
            <w:rPr>
              <w:rFonts w:ascii="Cambria Math" w:hAnsi="Cambria Math"/>
            </w:rPr>
            <m:t>=17.91+1,804*Surprise Rate Change-2.757*Hawkishness+0.0690*PMI-2*HCPI Change+7.619*COVID</m:t>
          </m:r>
        </m:oMath>
      </m:oMathPara>
    </w:p>
    <w:p w14:paraId="7B7E7648" w14:textId="4E9C65FC" w:rsidR="00CF296D" w:rsidRPr="00101B71" w:rsidRDefault="0086247C" w:rsidP="00B91299">
      <w:pPr>
        <w:pStyle w:val="NoSpacing"/>
      </w:pPr>
      <w:r w:rsidRPr="00101B71">
        <w:t>Considering only statistically significant coefficients, t</w:t>
      </w:r>
      <w:r w:rsidR="00080ABF" w:rsidRPr="00101B71">
        <w:t>he</w:t>
      </w:r>
      <w:r w:rsidRPr="00101B71">
        <w:t>ir</w:t>
      </w:r>
      <w:r w:rsidR="00080ABF" w:rsidRPr="00101B71">
        <w:t xml:space="preserve"> interpretation from the final linear model would be as follows:</w:t>
      </w:r>
    </w:p>
    <w:p w14:paraId="0EA29937" w14:textId="338570E1" w:rsidR="00B91299" w:rsidRPr="00101B71" w:rsidRDefault="00B91299" w:rsidP="00B91299">
      <w:pPr>
        <w:pStyle w:val="NoSpacing"/>
      </w:pPr>
      <w:r w:rsidRPr="00101B71">
        <w:rPr>
          <w:b/>
          <w:bCs/>
        </w:rPr>
        <w:t>Constant</w:t>
      </w:r>
      <w:r w:rsidRPr="00101B71">
        <w:t xml:space="preserve">: On average, when all other predictors take value 0, the VSTOXX amounts to </w:t>
      </w:r>
      <w:r w:rsidR="00D95D2C" w:rsidRPr="00101B71">
        <w:t>17.91</w:t>
      </w:r>
      <w:r w:rsidRPr="00101B71">
        <w:t>.</w:t>
      </w:r>
    </w:p>
    <w:p w14:paraId="5BED84F3" w14:textId="2946F932" w:rsidR="00507827" w:rsidRPr="00101B71" w:rsidRDefault="0098162E" w:rsidP="0098162E">
      <w:pPr>
        <w:pStyle w:val="NoSpacing"/>
      </w:pPr>
      <w:r w:rsidRPr="00101B71">
        <w:rPr>
          <w:b/>
          <w:bCs/>
        </w:rPr>
        <w:t>Unexpected Change in Interest Rate</w:t>
      </w:r>
      <w:r w:rsidRPr="00101B71">
        <w:t xml:space="preserve">: a unit change in this variable would imply that markets’ expectations were </w:t>
      </w:r>
      <w:r w:rsidR="009C1A37" w:rsidRPr="00101B71">
        <w:t xml:space="preserve">100% </w:t>
      </w:r>
      <w:r w:rsidR="004C3EE2">
        <w:t>wrong</w:t>
      </w:r>
      <w:r w:rsidR="009C1A37" w:rsidRPr="00101B71">
        <w:t>. However, since this is</w:t>
      </w:r>
      <w:r w:rsidR="00213CA9" w:rsidRPr="00101B71">
        <w:t xml:space="preserve"> a very unlikely scenario, let us </w:t>
      </w:r>
      <w:r w:rsidR="00240242" w:rsidRPr="00101B71">
        <w:t>interpret the coefficient with the more likely 25 b</w:t>
      </w:r>
      <w:r w:rsidR="00854145" w:rsidRPr="00101B71">
        <w:t>p</w:t>
      </w:r>
      <w:r w:rsidR="00240242" w:rsidRPr="00101B71">
        <w:t xml:space="preserve"> surprise change in interest rates. </w:t>
      </w:r>
      <w:r w:rsidR="004562C1" w:rsidRPr="00101B71">
        <w:t>Considering this</w:t>
      </w:r>
      <w:r w:rsidR="003D2AA7" w:rsidRPr="00101B71">
        <w:t xml:space="preserve"> value,</w:t>
      </w:r>
      <w:r w:rsidR="004562C1" w:rsidRPr="00101B71">
        <w:t xml:space="preserve"> and keeping everything else constant</w:t>
      </w:r>
      <w:r w:rsidR="00263D4A" w:rsidRPr="00101B71">
        <w:t xml:space="preserve">, </w:t>
      </w:r>
      <w:r w:rsidR="003D2AA7" w:rsidRPr="00101B71">
        <w:t xml:space="preserve">the VSTOXX would </w:t>
      </w:r>
      <w:r w:rsidR="00DD4276" w:rsidRPr="00101B71">
        <w:t>increase</w:t>
      </w:r>
      <w:r w:rsidR="003D2AA7" w:rsidRPr="00101B71">
        <w:t xml:space="preserve"> by 4.56</w:t>
      </w:r>
      <w:r w:rsidR="00B91299" w:rsidRPr="00101B71">
        <w:t xml:space="preserve"> on average</w:t>
      </w:r>
      <w:r w:rsidR="003D2AA7" w:rsidRPr="00101B71">
        <w:t>.</w:t>
      </w:r>
    </w:p>
    <w:p w14:paraId="104BF7DD" w14:textId="39217A35" w:rsidR="00080ABF" w:rsidRPr="00101B71" w:rsidRDefault="00507827" w:rsidP="0098162E">
      <w:pPr>
        <w:pStyle w:val="NoSpacing"/>
      </w:pPr>
      <w:r w:rsidRPr="00101B71">
        <w:rPr>
          <w:b/>
          <w:bCs/>
        </w:rPr>
        <w:t>Tone of the Statement</w:t>
      </w:r>
      <w:r w:rsidRPr="00101B71">
        <w:t xml:space="preserve">: </w:t>
      </w:r>
      <w:r w:rsidR="00020EFC" w:rsidRPr="00101B71">
        <w:t>k</w:t>
      </w:r>
      <w:r w:rsidRPr="00101B71">
        <w:t xml:space="preserve">eeping everything else constant, a </w:t>
      </w:r>
      <w:r w:rsidR="00020EFC" w:rsidRPr="00101B71">
        <w:t xml:space="preserve">hawkish statement is associated to a change </w:t>
      </w:r>
      <w:r w:rsidR="005557E4" w:rsidRPr="00101B71">
        <w:t>of -2.7</w:t>
      </w:r>
      <w:r w:rsidR="002326A6" w:rsidRPr="00101B71">
        <w:t>57</w:t>
      </w:r>
      <w:r w:rsidR="005557E4" w:rsidRPr="00101B71">
        <w:t xml:space="preserve"> in the VSTOXX index</w:t>
      </w:r>
      <w:r w:rsidR="00854145" w:rsidRPr="00101B71">
        <w:t xml:space="preserve"> on average</w:t>
      </w:r>
      <w:r w:rsidR="005557E4" w:rsidRPr="00101B71">
        <w:t xml:space="preserve">. </w:t>
      </w:r>
    </w:p>
    <w:p w14:paraId="33327C66" w14:textId="0967A13C" w:rsidR="0086247C" w:rsidRPr="00101B71" w:rsidRDefault="001A0FFD" w:rsidP="0098162E">
      <w:pPr>
        <w:pStyle w:val="NoSpacing"/>
      </w:pPr>
      <w:r w:rsidRPr="00101B71">
        <w:rPr>
          <w:b/>
          <w:bCs/>
        </w:rPr>
        <w:t>Inflation (HCPI)</w:t>
      </w:r>
      <w:r w:rsidRPr="00101B71">
        <w:t xml:space="preserve">: </w:t>
      </w:r>
      <w:r w:rsidR="00EA318F" w:rsidRPr="00101B71">
        <w:t xml:space="preserve">keeping everything else constant, </w:t>
      </w:r>
      <w:r w:rsidR="005A5F89" w:rsidRPr="00101B71">
        <w:t>a unit</w:t>
      </w:r>
      <w:r w:rsidR="00EA318F" w:rsidRPr="00101B71">
        <w:t xml:space="preserve"> </w:t>
      </w:r>
      <w:r w:rsidR="005A5F89" w:rsidRPr="00101B71">
        <w:t xml:space="preserve">change in </w:t>
      </w:r>
      <w:r w:rsidR="00EA318F" w:rsidRPr="00101B71">
        <w:t xml:space="preserve">inflation from the previous month is associated to a change in the </w:t>
      </w:r>
      <w:r w:rsidR="009040E4" w:rsidRPr="00101B71">
        <w:t>VSTOXX of -2</w:t>
      </w:r>
      <w:r w:rsidR="00854145" w:rsidRPr="00101B71">
        <w:t xml:space="preserve"> on average</w:t>
      </w:r>
      <w:r w:rsidR="009040E4" w:rsidRPr="00101B71">
        <w:t>.</w:t>
      </w:r>
    </w:p>
    <w:p w14:paraId="2D730314" w14:textId="2DFDA23A" w:rsidR="0010553A" w:rsidRPr="00101B71" w:rsidRDefault="009040E4" w:rsidP="0098162E">
      <w:pPr>
        <w:pStyle w:val="NoSpacing"/>
      </w:pPr>
      <w:r w:rsidRPr="00101B71">
        <w:rPr>
          <w:b/>
          <w:bCs/>
        </w:rPr>
        <w:t>COVID</w:t>
      </w:r>
      <w:r w:rsidRPr="00101B71">
        <w:t xml:space="preserve">: keeping everything else constant, </w:t>
      </w:r>
      <w:r w:rsidR="002D48E1" w:rsidRPr="00101B71">
        <w:t xml:space="preserve">a pandemic-like period is expected to increase </w:t>
      </w:r>
      <w:r w:rsidR="00BE1E2E" w:rsidRPr="00101B71">
        <w:t>the VSTOXX by 7.6</w:t>
      </w:r>
      <w:r w:rsidR="004E566B" w:rsidRPr="00101B71">
        <w:t>19</w:t>
      </w:r>
      <w:r w:rsidR="00BE1E2E" w:rsidRPr="00101B71">
        <w:t xml:space="preserve"> compared to a pandemic-free period</w:t>
      </w:r>
      <w:r w:rsidR="00854145" w:rsidRPr="00101B71">
        <w:t xml:space="preserve"> on average</w:t>
      </w:r>
      <w:r w:rsidR="00BE1E2E" w:rsidRPr="00101B71">
        <w:t xml:space="preserve">. </w:t>
      </w:r>
    </w:p>
    <w:p w14:paraId="3972A6E8" w14:textId="72FA7512" w:rsidR="00BE1E2E" w:rsidRPr="00101B71" w:rsidRDefault="0010553A" w:rsidP="0010553A">
      <w:pPr>
        <w:pStyle w:val="Heading2"/>
      </w:pPr>
      <w:bookmarkStart w:id="11" w:name="_Toc132643769"/>
      <w:r w:rsidRPr="00101B71">
        <w:t>Did COVID change how Statements are perceived?</w:t>
      </w:r>
      <w:bookmarkEnd w:id="11"/>
    </w:p>
    <w:p w14:paraId="3B5EB3A7" w14:textId="759AE7AF" w:rsidR="0010553A" w:rsidRPr="00101B71" w:rsidRDefault="0010553A" w:rsidP="0010553A">
      <w:r w:rsidRPr="00101B71">
        <w:t xml:space="preserve">Following the interpretation of the </w:t>
      </w:r>
      <w:r w:rsidR="00370905" w:rsidRPr="00101B71">
        <w:t xml:space="preserve">regression </w:t>
      </w:r>
      <w:r w:rsidRPr="00101B71">
        <w:t>results</w:t>
      </w:r>
      <w:r w:rsidR="00370905" w:rsidRPr="00101B71">
        <w:t>, it would be interesting to understand whether the COVID</w:t>
      </w:r>
      <w:r w:rsidR="00EA629E">
        <w:t>-19</w:t>
      </w:r>
      <w:r w:rsidR="00370905" w:rsidRPr="00101B71">
        <w:t xml:space="preserve"> pandemic is associated</w:t>
      </w:r>
      <w:r w:rsidR="00E92CF8" w:rsidRPr="00101B71">
        <w:t xml:space="preserve"> to the </w:t>
      </w:r>
      <w:r w:rsidR="00EF6EB6" w:rsidRPr="00101B71">
        <w:t xml:space="preserve">public </w:t>
      </w:r>
      <w:r w:rsidR="00E92CF8" w:rsidRPr="00101B71">
        <w:t xml:space="preserve">perception </w:t>
      </w:r>
      <w:r w:rsidR="001E7EE2" w:rsidRPr="00101B71">
        <w:t xml:space="preserve">of </w:t>
      </w:r>
      <w:r w:rsidR="00463496" w:rsidRPr="00101B71">
        <w:t xml:space="preserve">ECB’s statements. </w:t>
      </w:r>
      <w:r w:rsidR="00600695" w:rsidRPr="00101B71">
        <w:t xml:space="preserve">In other words, </w:t>
      </w:r>
      <w:r w:rsidR="00914093" w:rsidRPr="00101B71">
        <w:t xml:space="preserve">the aim of the upcoming analysis is to </w:t>
      </w:r>
      <w:r w:rsidR="00403CE4" w:rsidRPr="00101B71">
        <w:t>investigate</w:t>
      </w:r>
      <w:r w:rsidR="00914093" w:rsidRPr="00101B71">
        <w:t xml:space="preserve"> </w:t>
      </w:r>
      <w:r w:rsidR="00403CE4" w:rsidRPr="00101B71">
        <w:t>whether</w:t>
      </w:r>
      <w:r w:rsidR="00914093" w:rsidRPr="00101B71">
        <w:t xml:space="preserve"> </w:t>
      </w:r>
      <w:r w:rsidR="008320EA" w:rsidRPr="00101B71">
        <w:t>markets</w:t>
      </w:r>
      <w:r w:rsidR="00AB3CBF" w:rsidRPr="00101B71">
        <w:t xml:space="preserve"> started building expectations </w:t>
      </w:r>
      <w:r w:rsidR="001B21EF" w:rsidRPr="00101B71">
        <w:t xml:space="preserve">from ECB’s statements </w:t>
      </w:r>
      <w:r w:rsidR="00AB3CBF" w:rsidRPr="00101B71">
        <w:t xml:space="preserve">differently </w:t>
      </w:r>
      <w:r w:rsidR="001B21EF" w:rsidRPr="00101B71">
        <w:t xml:space="preserve">from what they </w:t>
      </w:r>
      <w:r w:rsidR="002479B4" w:rsidRPr="00101B71">
        <w:t xml:space="preserve">had been doing before the </w:t>
      </w:r>
      <w:r w:rsidR="00AA22D7" w:rsidRPr="00101B71">
        <w:t xml:space="preserve">advent of the global pandemic. </w:t>
      </w:r>
      <w:r w:rsidR="00467CF0" w:rsidRPr="00101B71">
        <w:t xml:space="preserve">To </w:t>
      </w:r>
      <w:r w:rsidR="00E8442B" w:rsidRPr="00101B71">
        <w:t xml:space="preserve">test </w:t>
      </w:r>
      <w:r w:rsidR="00B47D2A" w:rsidRPr="00101B71">
        <w:t>this</w:t>
      </w:r>
      <w:r w:rsidR="00E8442B" w:rsidRPr="00101B71">
        <w:t xml:space="preserve"> hypothesis</w:t>
      </w:r>
      <w:r w:rsidR="008419D5" w:rsidRPr="00101B71">
        <w:t>, an interaction term between the tone of the statement and the COVID</w:t>
      </w:r>
      <w:r w:rsidR="00F85AE0">
        <w:t>-19</w:t>
      </w:r>
      <w:r w:rsidR="008419D5" w:rsidRPr="00101B71">
        <w:t xml:space="preserve"> period </w:t>
      </w:r>
      <w:r w:rsidR="009033D2" w:rsidRPr="00101B71">
        <w:t xml:space="preserve">is introduced. </w:t>
      </w:r>
      <w:r w:rsidR="00663901" w:rsidRPr="00101B71">
        <w:t xml:space="preserve">Moreover, </w:t>
      </w:r>
      <w:r w:rsidR="008D0EB3" w:rsidRPr="00101B71">
        <w:t xml:space="preserve">not </w:t>
      </w:r>
      <w:r w:rsidR="00142B11" w:rsidRPr="00101B71">
        <w:t>requiring</w:t>
      </w:r>
      <w:r w:rsidR="008D0EB3" w:rsidRPr="00101B71">
        <w:t xml:space="preserve"> data on interest rate futures, th</w:t>
      </w:r>
      <w:r w:rsidR="005127E4" w:rsidRPr="00101B71">
        <w:t xml:space="preserve">e following analysis </w:t>
      </w:r>
      <w:r w:rsidR="00142B11" w:rsidRPr="00101B71">
        <w:t>can</w:t>
      </w:r>
      <w:r w:rsidR="005127E4" w:rsidRPr="00101B71">
        <w:t xml:space="preserve"> be conducted on the whole sample ranging from April 2015 to February 2023. </w:t>
      </w:r>
    </w:p>
    <w:p w14:paraId="09F2CCD2" w14:textId="5C3BA615" w:rsidR="006245C2" w:rsidRPr="00101B71" w:rsidRDefault="006245C2" w:rsidP="0010553A">
      <w:r w:rsidRPr="00101B71">
        <w:t xml:space="preserve">From </w:t>
      </w:r>
      <w:r w:rsidR="007D5B0C">
        <w:rPr>
          <w:i/>
          <w:iCs/>
        </w:rPr>
        <w:t>t</w:t>
      </w:r>
      <w:r w:rsidR="00A955A5" w:rsidRPr="00101B71">
        <w:rPr>
          <w:i/>
          <w:iCs/>
        </w:rPr>
        <w:t>able 3</w:t>
      </w:r>
      <w:r w:rsidR="00B9228F" w:rsidRPr="00101B71">
        <w:rPr>
          <w:i/>
          <w:iCs/>
        </w:rPr>
        <w:t xml:space="preserve"> </w:t>
      </w:r>
      <w:r w:rsidR="00B9228F" w:rsidRPr="00101B71">
        <w:t xml:space="preserve">it is possible to see that the interaction term has a positive coefficient which, however, is not statistically significant. A possible explanation for the statistical insignificance might reside in the lack of power </w:t>
      </w:r>
      <w:r w:rsidR="00416E42" w:rsidRPr="00101B71">
        <w:t xml:space="preserve">of the model that is introducing too much noise to detect the presence of </w:t>
      </w:r>
      <w:r w:rsidR="002F32A6" w:rsidRPr="00101B71">
        <w:t xml:space="preserve">a possible significant effect when there is one – a </w:t>
      </w:r>
      <w:r w:rsidR="003039F1">
        <w:t>potential</w:t>
      </w:r>
      <w:r w:rsidR="002F32A6" w:rsidRPr="00101B71">
        <w:t xml:space="preserve"> case of type II error. </w:t>
      </w:r>
      <w:r w:rsidR="00C848FE" w:rsidRPr="00101B71">
        <w:t xml:space="preserve">To test for the possible lack of power of the model, a correlation </w:t>
      </w:r>
      <w:r w:rsidR="00631AED" w:rsidRPr="00101B71">
        <w:t xml:space="preserve">between its squared residuals </w:t>
      </w:r>
      <w:r w:rsidR="00C848FE" w:rsidRPr="00101B71">
        <w:t xml:space="preserve">was </w:t>
      </w:r>
      <w:r w:rsidR="00631AED" w:rsidRPr="00101B71">
        <w:t xml:space="preserve">run. The rationale for </w:t>
      </w:r>
      <w:r w:rsidR="0035510A" w:rsidRPr="00101B71">
        <w:t>this test</w:t>
      </w:r>
      <w:r w:rsidR="00631AED" w:rsidRPr="00101B71">
        <w:t xml:space="preserve"> was that if the residuals showed a </w:t>
      </w:r>
      <w:r w:rsidR="00D914B7" w:rsidRPr="00101B71">
        <w:t xml:space="preserve">correlation pattern among them, and that was not captured in the model, then </w:t>
      </w:r>
      <w:r w:rsidR="00BF5D5E">
        <w:t>the model lacked</w:t>
      </w:r>
      <w:r w:rsidR="006C11FD" w:rsidRPr="00101B71">
        <w:t xml:space="preserve"> power to detect </w:t>
      </w:r>
      <w:r w:rsidR="00DD0E30" w:rsidRPr="00101B71">
        <w:t>main effects</w:t>
      </w:r>
      <w:r w:rsidR="005074CE">
        <w:t xml:space="preserve">. </w:t>
      </w:r>
      <w:r w:rsidR="001B12DA">
        <w:t>Therefore, t</w:t>
      </w:r>
      <w:r w:rsidR="004256C7">
        <w:t>he model</w:t>
      </w:r>
      <w:r w:rsidR="00D914B7" w:rsidRPr="00101B71">
        <w:t xml:space="preserve"> could be </w:t>
      </w:r>
      <w:r w:rsidR="006C11FD" w:rsidRPr="00101B71">
        <w:t>improved</w:t>
      </w:r>
      <w:r w:rsidR="00D914B7" w:rsidRPr="00101B71">
        <w:t xml:space="preserve"> </w:t>
      </w:r>
      <w:r w:rsidR="00DD0E30" w:rsidRPr="00101B71">
        <w:t>by</w:t>
      </w:r>
      <w:r w:rsidR="00D914B7" w:rsidRPr="00101B71">
        <w:t xml:space="preserve"> control</w:t>
      </w:r>
      <w:r w:rsidR="00DD0E30" w:rsidRPr="00101B71">
        <w:t>ling</w:t>
      </w:r>
      <w:r w:rsidR="00D914B7" w:rsidRPr="00101B71">
        <w:t xml:space="preserve"> for </w:t>
      </w:r>
      <w:r w:rsidR="006C11FD" w:rsidRPr="00101B71">
        <w:t xml:space="preserve">patterns in the error term. </w:t>
      </w:r>
      <w:r w:rsidR="009B5B9A" w:rsidRPr="00101B71">
        <w:rPr>
          <w:i/>
          <w:iCs/>
        </w:rPr>
        <w:t xml:space="preserve">Figure </w:t>
      </w:r>
      <w:r w:rsidR="001B1766" w:rsidRPr="00101B71">
        <w:rPr>
          <w:i/>
          <w:iCs/>
        </w:rPr>
        <w:t xml:space="preserve">3 </w:t>
      </w:r>
      <w:r w:rsidR="001B1766" w:rsidRPr="00101B71">
        <w:t xml:space="preserve">shows </w:t>
      </w:r>
      <w:r w:rsidR="00E20565" w:rsidRPr="00101B71">
        <w:t xml:space="preserve">that there is unmodeled volatility in the error term up to </w:t>
      </w:r>
      <w:r w:rsidR="00990309" w:rsidRPr="00101B71">
        <w:t xml:space="preserve">10 time lags with </w:t>
      </w:r>
      <w:r w:rsidR="001F5B68" w:rsidRPr="00101B71">
        <w:t>the</w:t>
      </w:r>
      <w:r w:rsidR="00990309" w:rsidRPr="00101B71">
        <w:t xml:space="preserve"> bulk </w:t>
      </w:r>
      <w:r w:rsidR="001F5B68" w:rsidRPr="00101B71">
        <w:t xml:space="preserve">of it </w:t>
      </w:r>
      <w:r w:rsidR="00BE1E19" w:rsidRPr="00101B71">
        <w:t xml:space="preserve">occurring at lags of 1 and 2. </w:t>
      </w:r>
      <w:r w:rsidR="00E556A4" w:rsidRPr="00101B71">
        <w:t xml:space="preserve">Partial autocorrelation is </w:t>
      </w:r>
      <w:r w:rsidR="00F96253" w:rsidRPr="00101B71">
        <w:t xml:space="preserve">also </w:t>
      </w:r>
      <w:r w:rsidR="003B02D7" w:rsidRPr="00101B71">
        <w:t>observed</w:t>
      </w:r>
      <w:r w:rsidR="00F96253" w:rsidRPr="00101B71">
        <w:t xml:space="preserve">, </w:t>
      </w:r>
      <w:r w:rsidR="00FB2B1E" w:rsidRPr="00101B71">
        <w:t>particularly at lag 1.</w:t>
      </w:r>
      <w:r w:rsidR="002714AD" w:rsidRPr="00101B71">
        <w:t xml:space="preserve"> P</w:t>
      </w:r>
      <w:r w:rsidR="003F162B" w:rsidRPr="00101B71">
        <w:t xml:space="preserve">artial autocorrelation </w:t>
      </w:r>
      <w:r w:rsidR="002714AD" w:rsidRPr="00101B71">
        <w:t xml:space="preserve">is important to take into account since it </w:t>
      </w:r>
      <w:r w:rsidR="003F162B" w:rsidRPr="00101B71">
        <w:t xml:space="preserve">measures the amount of </w:t>
      </w:r>
      <w:r w:rsidR="00263822" w:rsidRPr="00101B71">
        <w:t xml:space="preserve">correlation that is not explained by previous time lags. </w:t>
      </w:r>
      <w:r w:rsidR="00C41F0B" w:rsidRPr="00101B71">
        <w:t>Combining t</w:t>
      </w:r>
      <w:r w:rsidR="00CC5DF2" w:rsidRPr="00101B71">
        <w:t>hese</w:t>
      </w:r>
      <w:r w:rsidR="00067365" w:rsidRPr="00101B71">
        <w:t xml:space="preserve"> findings provide</w:t>
      </w:r>
      <w:r w:rsidR="00BB5497">
        <w:t>s</w:t>
      </w:r>
      <w:r w:rsidR="00067365" w:rsidRPr="00101B71">
        <w:t xml:space="preserve"> </w:t>
      </w:r>
      <w:r w:rsidR="00C96ECD" w:rsidRPr="00101B71">
        <w:t xml:space="preserve">useful insights that can be </w:t>
      </w:r>
      <w:r w:rsidR="00D611FC" w:rsidRPr="00101B71">
        <w:t xml:space="preserve">leveraged employing </w:t>
      </w:r>
      <w:r w:rsidR="001E08CD" w:rsidRPr="00101B71">
        <w:t xml:space="preserve">a model </w:t>
      </w:r>
      <w:r w:rsidR="00D611FC" w:rsidRPr="00101B71">
        <w:t xml:space="preserve">that </w:t>
      </w:r>
      <w:r w:rsidR="001E08CD" w:rsidRPr="00101B71">
        <w:t>tak</w:t>
      </w:r>
      <w:r w:rsidR="00D611FC" w:rsidRPr="00101B71">
        <w:t xml:space="preserve">es </w:t>
      </w:r>
      <w:r w:rsidR="001E08CD" w:rsidRPr="00101B71">
        <w:t>them into account.</w:t>
      </w:r>
    </w:p>
    <w:p w14:paraId="62B13B9E" w14:textId="15FF1B78" w:rsidR="009905D8" w:rsidRPr="00101B71" w:rsidRDefault="001E08CD" w:rsidP="006F41B1">
      <w:pPr>
        <w:pStyle w:val="NoSpacing"/>
      </w:pPr>
      <w:bookmarkStart w:id="12" w:name="_Toc132643770"/>
      <w:r w:rsidRPr="00101B71">
        <w:rPr>
          <w:rStyle w:val="Heading3Char"/>
        </w:rPr>
        <w:t>GARCH Model</w:t>
      </w:r>
      <w:r w:rsidR="009D4E45" w:rsidRPr="00101B71">
        <w:rPr>
          <w:rStyle w:val="Heading3Char"/>
        </w:rPr>
        <w:t>.</w:t>
      </w:r>
      <w:bookmarkEnd w:id="12"/>
      <w:r w:rsidR="009D4E45" w:rsidRPr="00101B71">
        <w:t xml:space="preserve"> </w:t>
      </w:r>
      <w:r w:rsidR="00564F38" w:rsidRPr="00101B71">
        <w:t>This section explores how a GARCH (</w:t>
      </w:r>
      <w:r w:rsidR="008719AC" w:rsidRPr="00101B71">
        <w:rPr>
          <w:i/>
          <w:iCs/>
        </w:rPr>
        <w:t>p</w:t>
      </w:r>
      <w:r w:rsidR="00564F38" w:rsidRPr="00101B71">
        <w:rPr>
          <w:i/>
          <w:iCs/>
        </w:rPr>
        <w:t>,</w:t>
      </w:r>
      <w:r w:rsidR="006F53BF" w:rsidRPr="00101B71">
        <w:rPr>
          <w:i/>
          <w:iCs/>
        </w:rPr>
        <w:t xml:space="preserve"> </w:t>
      </w:r>
      <w:r w:rsidR="008719AC" w:rsidRPr="00101B71">
        <w:rPr>
          <w:i/>
          <w:iCs/>
        </w:rPr>
        <w:t>q</w:t>
      </w:r>
      <w:r w:rsidR="00564F38" w:rsidRPr="00101B71">
        <w:t xml:space="preserve">) model is best suited to model volatility levels that are conditional on time. The order of the GARCH term </w:t>
      </w:r>
      <w:r w:rsidR="007E442A" w:rsidRPr="00101B71">
        <w:t>(</w:t>
      </w:r>
      <w:r w:rsidR="00307FEC">
        <w:rPr>
          <w:i/>
        </w:rPr>
        <w:t>p</w:t>
      </w:r>
      <w:r w:rsidR="007E442A" w:rsidRPr="00101B71">
        <w:t xml:space="preserve">) </w:t>
      </w:r>
      <w:r w:rsidR="00564F38" w:rsidRPr="00101B71">
        <w:t>is obtained from the lag with the highest partial autocorrelation, while th</w:t>
      </w:r>
      <w:r w:rsidR="00C63269">
        <w:t>at of the</w:t>
      </w:r>
      <w:r w:rsidR="00564F38" w:rsidRPr="00101B71">
        <w:t xml:space="preserve"> ARCH term </w:t>
      </w:r>
      <w:r w:rsidR="007E442A" w:rsidRPr="00101B71">
        <w:t>(</w:t>
      </w:r>
      <w:r w:rsidR="00307FEC">
        <w:rPr>
          <w:i/>
        </w:rPr>
        <w:t>q</w:t>
      </w:r>
      <w:r w:rsidR="007E442A" w:rsidRPr="00101B71">
        <w:t xml:space="preserve">) </w:t>
      </w:r>
      <w:r w:rsidR="00564F38" w:rsidRPr="00101B71">
        <w:t>is determined based on the lags presenting the most significant autocorrelation.</w:t>
      </w:r>
      <w:r w:rsidR="007E442A" w:rsidRPr="00101B71">
        <w:t xml:space="preserve"> From the previous analysis on residuals</w:t>
      </w:r>
      <w:r w:rsidR="00CF2E7F">
        <w:t>,</w:t>
      </w:r>
      <w:r w:rsidR="007D6C72" w:rsidRPr="00101B71">
        <w:t xml:space="preserve"> sensible values for </w:t>
      </w:r>
      <w:r w:rsidR="007D6C72" w:rsidRPr="003D20A2">
        <w:rPr>
          <w:i/>
        </w:rPr>
        <w:t>p</w:t>
      </w:r>
      <w:r w:rsidR="007D6C72" w:rsidRPr="00101B71">
        <w:t xml:space="preserve"> and </w:t>
      </w:r>
      <w:r w:rsidR="007D6C72" w:rsidRPr="003D20A2">
        <w:rPr>
          <w:i/>
        </w:rPr>
        <w:t>q</w:t>
      </w:r>
      <w:r w:rsidR="007D6C72" w:rsidRPr="00101B71">
        <w:t xml:space="preserve">, respectively, are </w:t>
      </w:r>
      <w:r w:rsidR="00307FEC">
        <w:t>1 a</w:t>
      </w:r>
      <w:r w:rsidR="00EB6672" w:rsidRPr="00101B71">
        <w:t xml:space="preserve">nd </w:t>
      </w:r>
      <w:r w:rsidR="00307FEC">
        <w:t>2</w:t>
      </w:r>
      <w:r w:rsidR="007E442A" w:rsidRPr="00101B71">
        <w:t>.</w:t>
      </w:r>
      <w:r w:rsidR="00564F38" w:rsidRPr="00101B71">
        <w:t xml:space="preserve"> GARCH models are the most employed in the current literature exploring volatility as they provide very consistent results and allow for more robust models that can adjust for shocks over time. The power of a GARCH model is better understood when it is presented in its mathematical formulation. It is important to keep in mind that the main aim of such model is to help with the decomposition of the error term into a predictable (deterministic) and a stochastic component, so that only random processes are contained in the error term. This relies on the assumption that the error term can be decomposed as:</w:t>
      </w:r>
    </w:p>
    <w:p w14:paraId="02F9ABA2" w14:textId="45DCAA90" w:rsidR="00C254C1" w:rsidRPr="00101B71" w:rsidRDefault="007F24D4" w:rsidP="009905D8">
      <w:pPr>
        <w:pStyle w:val="NoSpacing"/>
      </w:pPr>
      <m:oMathPara>
        <m:oMath>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hAnsi="Cambria Math"/>
                  <w:i/>
                </w:rPr>
              </m:ctrlPr>
            </m:sSubPr>
            <m:e>
              <m:r>
                <w:rPr>
                  <w:rFonts w:ascii="Cambria Math" w:hAnsi="Cambria Math"/>
                </w:rPr>
                <m:t>ω</m:t>
              </m:r>
            </m:e>
            <m:sub>
              <m:r>
                <w:rPr>
                  <w:rFonts w:ascii="Cambria Math" w:hAnsi="Cambria Math"/>
                </w:rPr>
                <m:t>t</m:t>
              </m:r>
            </m:sub>
          </m:sSub>
        </m:oMath>
      </m:oMathPara>
    </w:p>
    <w:p w14:paraId="1DB3E4E6" w14:textId="60B63A11" w:rsidR="009F25C4" w:rsidRPr="00101B71" w:rsidRDefault="00D555D4" w:rsidP="009905D8">
      <w:pPr>
        <w:pStyle w:val="NoSpacing"/>
      </w:pPr>
      <w:r w:rsidRPr="00101B71">
        <w:t xml:space="preserve">with </w:t>
      </w:r>
      <m:oMath>
        <m:sSub>
          <m:sSubPr>
            <m:ctrlPr>
              <w:rPr>
                <w:rFonts w:ascii="Cambria Math" w:hAnsi="Cambria Math"/>
                <w:i/>
              </w:rPr>
            </m:ctrlPr>
          </m:sSubPr>
          <m:e>
            <m:r>
              <w:rPr>
                <w:rFonts w:ascii="Cambria Math" w:hAnsi="Cambria Math"/>
              </w:rPr>
              <m:t>σ</m:t>
            </m:r>
          </m:e>
          <m:sub>
            <m:r>
              <w:rPr>
                <w:rFonts w:ascii="Cambria Math" w:hAnsi="Cambria Math"/>
              </w:rPr>
              <m:t>t</m:t>
            </m:r>
          </m:sub>
        </m:sSub>
      </m:oMath>
      <w:r w:rsidR="008608EB" w:rsidRPr="00101B71">
        <w:t xml:space="preserve"> being the deterministic component and </w:t>
      </w:r>
      <m:oMath>
        <m:sSub>
          <m:sSubPr>
            <m:ctrlPr>
              <w:rPr>
                <w:rFonts w:ascii="Cambria Math" w:hAnsi="Cambria Math"/>
                <w:i/>
              </w:rPr>
            </m:ctrlPr>
          </m:sSubPr>
          <m:e>
            <m:r>
              <w:rPr>
                <w:rFonts w:ascii="Cambria Math" w:hAnsi="Cambria Math"/>
              </w:rPr>
              <m:t>ω</m:t>
            </m:r>
          </m:e>
          <m:sub>
            <m:r>
              <w:rPr>
                <w:rFonts w:ascii="Cambria Math" w:hAnsi="Cambria Math"/>
              </w:rPr>
              <m:t>t</m:t>
            </m:r>
          </m:sub>
        </m:sSub>
      </m:oMath>
      <w:r w:rsidR="008608EB" w:rsidRPr="00101B71">
        <w:t xml:space="preserve"> representing white noise</w:t>
      </w:r>
      <w:r w:rsidR="009F25C4" w:rsidRPr="00101B71">
        <w:t xml:space="preserve">, which is </w:t>
      </w:r>
      <w:r w:rsidR="00986A80" w:rsidRPr="00101B71">
        <w:t>nonpredictable by definition</w:t>
      </w:r>
      <w:r w:rsidR="009F25C4" w:rsidRPr="00101B71">
        <w:t xml:space="preserve">. This results in the formulation of the conditional variance and </w:t>
      </w:r>
      <w:r w:rsidR="00986A80" w:rsidRPr="00101B71">
        <w:t>conditional mean equations.</w:t>
      </w:r>
    </w:p>
    <w:p w14:paraId="1C18415B" w14:textId="3AE6861A" w:rsidR="00F030AB" w:rsidRPr="00101B71" w:rsidRDefault="007F24D4" w:rsidP="009905D8">
      <w:pPr>
        <w:pStyle w:val="NoSpacing"/>
      </w:pPr>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 α+ ϕ</m:t>
          </m:r>
          <m:sSubSup>
            <m:sSubSupPr>
              <m:ctrlPr>
                <w:rPr>
                  <w:rFonts w:ascii="Cambria Math" w:hAnsi="Cambria Math"/>
                  <w:i/>
                </w:rPr>
              </m:ctrlPr>
            </m:sSubSupPr>
            <m:e>
              <m:r>
                <w:rPr>
                  <w:rFonts w:ascii="Cambria Math" w:hAnsi="Cambria Math"/>
                </w:rPr>
                <m:t>ε</m:t>
              </m:r>
            </m:e>
            <m:sub>
              <m:r>
                <w:rPr>
                  <w:rFonts w:ascii="Cambria Math" w:hAnsi="Cambria Math"/>
                </w:rPr>
                <m:t>t-1</m:t>
              </m:r>
            </m:sub>
            <m:sup>
              <m:r>
                <w:rPr>
                  <w:rFonts w:ascii="Cambria Math" w:hAnsi="Cambria Math"/>
                </w:rPr>
                <m:t>2</m:t>
              </m:r>
            </m:sup>
          </m:sSubSup>
          <m:r>
            <w:rPr>
              <w:rFonts w:ascii="Cambria Math" w:hAnsi="Cambria Math"/>
            </w:rPr>
            <m:t>+ϕ</m:t>
          </m:r>
          <m:sSubSup>
            <m:sSubSupPr>
              <m:ctrlPr>
                <w:rPr>
                  <w:rFonts w:ascii="Cambria Math" w:hAnsi="Cambria Math"/>
                  <w:i/>
                </w:rPr>
              </m:ctrlPr>
            </m:sSubSupPr>
            <m:e>
              <m:r>
                <w:rPr>
                  <w:rFonts w:ascii="Cambria Math" w:hAnsi="Cambria Math"/>
                </w:rPr>
                <m:t>ε</m:t>
              </m:r>
            </m:e>
            <m:sub>
              <m:r>
                <w:rPr>
                  <w:rFonts w:ascii="Cambria Math" w:hAnsi="Cambria Math"/>
                </w:rPr>
                <m:t>t-2</m:t>
              </m:r>
            </m:sub>
            <m:sup>
              <m:r>
                <w:rPr>
                  <w:rFonts w:ascii="Cambria Math" w:hAnsi="Cambria Math"/>
                </w:rPr>
                <m:t>2</m:t>
              </m:r>
            </m:sup>
          </m:sSubSup>
          <m:r>
            <w:rPr>
              <w:rFonts w:ascii="Cambria Math" w:hAnsi="Cambria Math"/>
            </w:rPr>
            <m:t>+δ</m:t>
          </m:r>
          <m:sSubSup>
            <m:sSubSupPr>
              <m:ctrlPr>
                <w:rPr>
                  <w:rFonts w:ascii="Cambria Math" w:hAnsi="Cambria Math"/>
                  <w:i/>
                </w:rPr>
              </m:ctrlPr>
            </m:sSubSupPr>
            <m:e>
              <m:r>
                <w:rPr>
                  <w:rFonts w:ascii="Cambria Math" w:hAnsi="Cambria Math"/>
                </w:rPr>
                <m:t>σ</m:t>
              </m:r>
            </m:e>
            <m:sub>
              <m:r>
                <w:rPr>
                  <w:rFonts w:ascii="Cambria Math" w:hAnsi="Cambria Math"/>
                </w:rPr>
                <m:t>t-1</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568CB029" w14:textId="6E20EFB5" w:rsidR="009A673F" w:rsidRPr="00101B71" w:rsidRDefault="007F24D4" w:rsidP="009905D8">
      <w:pPr>
        <w:pStyle w:val="NoSpacing"/>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μ+ </m:t>
          </m:r>
          <m:r>
            <m:rPr>
              <m:sty m:val="p"/>
            </m:rPr>
            <w:rPr>
              <w:rFonts w:ascii="Cambria Math" w:hAnsi="Cambria Math"/>
            </w:rPr>
            <m:t>β</m:t>
          </m:r>
          <m:sSub>
            <m:sSubPr>
              <m:ctrlPr>
                <w:rPr>
                  <w:rFonts w:ascii="Cambria Math" w:hAnsi="Cambria Math"/>
                </w:rPr>
              </m:ctrlPr>
            </m:sSubPr>
            <m:e>
              <m:r>
                <m:rPr>
                  <m:sty m:val="p"/>
                </m:rPr>
                <w:rPr>
                  <w:rFonts w:ascii="Cambria Math" w:hAnsi="Cambria Math"/>
                </w:rPr>
                <m:t>Χ</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0EABA994" w14:textId="77623F88" w:rsidR="001E08CD" w:rsidRPr="00101B71" w:rsidRDefault="007501FC" w:rsidP="001D0DEA">
      <w:pPr>
        <w:pStyle w:val="NoSpacing"/>
      </w:pPr>
      <w:r w:rsidRPr="00101B71">
        <w:t xml:space="preserve">The </w:t>
      </w:r>
      <w:r w:rsidR="007A1581" w:rsidRPr="00101B71">
        <w:t xml:space="preserve">conditional variance </w:t>
      </w:r>
      <w:r w:rsidR="00BE70DC" w:rsidRPr="00101B71">
        <w:t xml:space="preserve">equation </w:t>
      </w:r>
      <w:r w:rsidR="002F5D4A">
        <w:t xml:space="preserve">explains how </w:t>
      </w:r>
      <w:r w:rsidR="00B92A65">
        <w:t>the variance of the series</w:t>
      </w:r>
      <w:r w:rsidR="007A1581" w:rsidRPr="00101B71">
        <w:t xml:space="preserve"> </w:t>
      </w:r>
      <w:r w:rsidR="00B92A65">
        <w:t>depends</w:t>
      </w:r>
      <w:r w:rsidR="00A80F41" w:rsidRPr="00101B71">
        <w:t xml:space="preserve"> on </w:t>
      </w:r>
      <w:r w:rsidR="00E2568A" w:rsidRPr="00101B71">
        <w:t xml:space="preserve">the squared error term from the previous </w:t>
      </w:r>
      <w:r w:rsidR="00F3161B" w:rsidRPr="00101B71">
        <w:t>period</w:t>
      </w:r>
      <w:r w:rsidR="00723DFD">
        <w:t>s</w:t>
      </w:r>
      <w:r w:rsidR="00BE70DC" w:rsidRPr="00101B71">
        <w:t xml:space="preserve"> and </w:t>
      </w:r>
      <w:r w:rsidR="00723DFD">
        <w:t xml:space="preserve">a </w:t>
      </w:r>
      <w:r w:rsidR="00AC3315" w:rsidRPr="00101B71">
        <w:t xml:space="preserve">lagged </w:t>
      </w:r>
      <w:r w:rsidR="00BE70DC" w:rsidRPr="00101B71">
        <w:t>autoregressive term</w:t>
      </w:r>
      <w:r w:rsidR="00C75147" w:rsidRPr="00101B71">
        <w:t>. Th</w:t>
      </w:r>
      <w:r w:rsidR="00BE70DC" w:rsidRPr="00101B71">
        <w:t>e former</w:t>
      </w:r>
      <w:r w:rsidR="00C75147" w:rsidRPr="00101B71">
        <w:t xml:space="preserve"> is also known as the ARCH term. </w:t>
      </w:r>
      <w:r w:rsidR="009A2B0C" w:rsidRPr="00101B71">
        <w:t xml:space="preserve">The </w:t>
      </w:r>
      <m:oMath>
        <m:r>
          <w:rPr>
            <w:rFonts w:ascii="Cambria Math" w:hAnsi="Cambria Math"/>
          </w:rPr>
          <m:t>ϕ</m:t>
        </m:r>
      </m:oMath>
      <w:r w:rsidR="009A2B0C" w:rsidRPr="00101B71">
        <w:t xml:space="preserve"> coefficient</w:t>
      </w:r>
      <w:r w:rsidR="00FB6F94">
        <w:t>s</w:t>
      </w:r>
      <w:r w:rsidR="009A2B0C" w:rsidRPr="00101B71">
        <w:t xml:space="preserve"> measure the magnitude </w:t>
      </w:r>
      <w:r w:rsidR="001D4082" w:rsidRPr="00101B71">
        <w:t xml:space="preserve">of </w:t>
      </w:r>
      <w:r w:rsidR="004D4489">
        <w:t>the effect of</w:t>
      </w:r>
      <w:r w:rsidR="001D4082" w:rsidRPr="00101B71">
        <w:t xml:space="preserve"> squared errors on the conditional volatility. </w:t>
      </w:r>
      <w:r w:rsidR="005C5ACD" w:rsidRPr="00101B71">
        <w:t xml:space="preserve">The remaining term </w:t>
      </w:r>
      <w:r w:rsidR="00FB6F94">
        <w:t>is an</w:t>
      </w:r>
      <w:r w:rsidR="005C5ACD" w:rsidRPr="00101B71">
        <w:t xml:space="preserve"> autoregressive </w:t>
      </w:r>
      <w:r w:rsidR="00302019">
        <w:t>one</w:t>
      </w:r>
      <w:r w:rsidR="005C5ACD" w:rsidRPr="00101B71">
        <w:t xml:space="preserve"> showing the relationship of </w:t>
      </w:r>
      <w:r w:rsidR="0037356A" w:rsidRPr="00101B71">
        <w:t xml:space="preserve">the dependent variable with </w:t>
      </w:r>
      <w:r w:rsidR="00A02C3E">
        <w:t xml:space="preserve">a </w:t>
      </w:r>
      <w:r w:rsidR="0037356A" w:rsidRPr="00101B71">
        <w:t xml:space="preserve">lagged version of itself. Similarly, here the </w:t>
      </w:r>
      <m:oMath>
        <m:r>
          <w:rPr>
            <w:rFonts w:ascii="Cambria Math" w:hAnsi="Cambria Math"/>
          </w:rPr>
          <m:t>δ</m:t>
        </m:r>
      </m:oMath>
      <w:r w:rsidR="0037356A" w:rsidRPr="00101B71">
        <w:t xml:space="preserve"> coefficient </w:t>
      </w:r>
      <w:r w:rsidR="00857687" w:rsidRPr="00101B71">
        <w:t>quantif</w:t>
      </w:r>
      <w:r w:rsidR="00FB6F94">
        <w:t xml:space="preserve">ies </w:t>
      </w:r>
      <w:r w:rsidR="00857687" w:rsidRPr="00101B71">
        <w:t xml:space="preserve">the importance of such effect. </w:t>
      </w:r>
      <w:r w:rsidR="002B04D5" w:rsidRPr="00101B71">
        <w:t xml:space="preserve">When controlling for </w:t>
      </w:r>
      <w:r w:rsidR="00FD553B" w:rsidRPr="00101B71">
        <w:t>these terms</w:t>
      </w:r>
      <w:r w:rsidR="002B04D5" w:rsidRPr="00101B71">
        <w:t xml:space="preserve"> in the conditional variance equation, the</w:t>
      </w:r>
      <w:r w:rsidR="00FD553B" w:rsidRPr="00101B71">
        <w:t xml:space="preserve"> </w:t>
      </w:r>
      <w:r w:rsidR="00A3044E" w:rsidRPr="00101B71">
        <w:t xml:space="preserve">conditional mean equation </w:t>
      </w:r>
      <w:r w:rsidR="00322B5E" w:rsidRPr="00101B71">
        <w:t>has more power to</w:t>
      </w:r>
      <w:r w:rsidR="00A3044E" w:rsidRPr="00101B71">
        <w:t xml:space="preserve"> detect </w:t>
      </w:r>
      <w:r w:rsidR="00322B5E" w:rsidRPr="00101B71">
        <w:t xml:space="preserve">main </w:t>
      </w:r>
      <w:r w:rsidR="00A3044E" w:rsidRPr="00101B71">
        <w:t xml:space="preserve">effects of </w:t>
      </w:r>
      <w:r w:rsidR="00375483" w:rsidRPr="00101B71">
        <w:t xml:space="preserve">predictors. </w:t>
      </w:r>
      <w:r w:rsidR="009C28A1" w:rsidRPr="00101B71">
        <w:t>In th</w:t>
      </w:r>
      <w:r w:rsidR="005E639E" w:rsidRPr="00101B71">
        <w:t xml:space="preserve">is </w:t>
      </w:r>
      <w:r w:rsidR="009C28A1" w:rsidRPr="00101B71">
        <w:t xml:space="preserve">equation, </w:t>
      </w:r>
      <m:oMath>
        <m:r>
          <w:rPr>
            <w:rFonts w:ascii="Cambria Math" w:hAnsi="Cambria Math"/>
          </w:rPr>
          <m:t>μ</m:t>
        </m:r>
      </m:oMath>
      <w:r w:rsidR="005E639E" w:rsidRPr="00101B71">
        <w:t xml:space="preserve"> represents the </w:t>
      </w:r>
      <w:r w:rsidR="004E0C83" w:rsidRPr="00101B71">
        <w:t xml:space="preserve">expected value that the dependent variable would take if all other predictors were to </w:t>
      </w:r>
      <w:r w:rsidR="00E2289A" w:rsidRPr="00101B71">
        <w:t xml:space="preserve">be </w:t>
      </w:r>
      <w:r w:rsidR="00597221" w:rsidRPr="00101B71">
        <w:t xml:space="preserve">set </w:t>
      </w:r>
      <w:r w:rsidR="00E2289A" w:rsidRPr="00101B71">
        <w:t xml:space="preserve">equal to zero. On the other hand, </w:t>
      </w:r>
      <m:oMath>
        <m:r>
          <m:rPr>
            <m:sty m:val="p"/>
          </m:rPr>
          <w:rPr>
            <w:rFonts w:ascii="Cambria Math" w:hAnsi="Cambria Math"/>
          </w:rPr>
          <m:t>β</m:t>
        </m:r>
      </m:oMath>
      <w:r w:rsidR="00E2289A" w:rsidRPr="00101B71">
        <w:t xml:space="preserve"> represents a </w:t>
      </w:r>
      <w:r w:rsidR="00603888">
        <w:t>matrix</w:t>
      </w:r>
      <w:r w:rsidR="00E2289A" w:rsidRPr="00101B71">
        <w:t xml:space="preserve"> of coefficients multiplying a </w:t>
      </w:r>
      <w:r w:rsidR="00DF317D" w:rsidRPr="00101B71">
        <w:t xml:space="preserve">vector </w:t>
      </w:r>
      <m:oMath>
        <m:r>
          <m:rPr>
            <m:sty m:val="p"/>
          </m:rPr>
          <w:rPr>
            <w:rFonts w:ascii="Cambria Math" w:hAnsi="Cambria Math"/>
          </w:rPr>
          <m:t>Χ</m:t>
        </m:r>
      </m:oMath>
      <w:r w:rsidR="00DF317D" w:rsidRPr="00101B71">
        <w:t xml:space="preserve"> of independent variables</w:t>
      </w:r>
      <w:r w:rsidR="007F4448" w:rsidRPr="00101B71">
        <w:t xml:space="preserve"> at time </w:t>
      </w:r>
      <w:r w:rsidR="007F4448" w:rsidRPr="00101B71">
        <w:rPr>
          <w:i/>
          <w:iCs/>
        </w:rPr>
        <w:t>t</w:t>
      </w:r>
      <w:r w:rsidR="007F4448" w:rsidRPr="00101B71">
        <w:t xml:space="preserve">. </w:t>
      </w:r>
      <w:r w:rsidR="009F544E" w:rsidRPr="00101B71">
        <w:t xml:space="preserve">It is now possible to substitute into the conditional mean equation the estimated coefficients </w:t>
      </w:r>
      <w:r w:rsidR="00636254" w:rsidRPr="00101B71">
        <w:t xml:space="preserve">obtained through maximum likelihood estimation. </w:t>
      </w:r>
      <w:r w:rsidR="00C11A3D" w:rsidRPr="00101B71">
        <w:t xml:space="preserve">From </w:t>
      </w:r>
      <w:r w:rsidR="00764B6F">
        <w:rPr>
          <w:i/>
          <w:iCs/>
        </w:rPr>
        <w:t>t</w:t>
      </w:r>
      <w:r w:rsidR="00C11A3D" w:rsidRPr="00101B71">
        <w:rPr>
          <w:i/>
          <w:iCs/>
        </w:rPr>
        <w:t xml:space="preserve">able </w:t>
      </w:r>
      <w:r w:rsidR="009977FD" w:rsidRPr="00101B71">
        <w:rPr>
          <w:i/>
          <w:iCs/>
        </w:rPr>
        <w:t>4</w:t>
      </w:r>
      <w:r w:rsidR="009977FD" w:rsidRPr="00101B71">
        <w:t xml:space="preserve"> column 1 the coefficients </w:t>
      </w:r>
      <w:r w:rsidR="003234F8" w:rsidRPr="00101B71">
        <w:t xml:space="preserve">for the conditional mean equation </w:t>
      </w:r>
      <w:r w:rsidR="009977FD" w:rsidRPr="00101B71">
        <w:t>are:</w:t>
      </w:r>
    </w:p>
    <w:p w14:paraId="072FE2B5" w14:textId="18558C3F" w:rsidR="00602A6E" w:rsidRPr="00101B71" w:rsidRDefault="007F24D4" w:rsidP="001D0DEA">
      <w:pPr>
        <w:pStyle w:val="NoSpacing"/>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VSTOXX</m:t>
                  </m:r>
                </m:e>
                <m:sub>
                  <m:r>
                    <w:rPr>
                      <w:rFonts w:ascii="Cambria Math" w:hAnsi="Cambria Math"/>
                    </w:rPr>
                    <m:t>t</m:t>
                  </m:r>
                </m:sub>
              </m:sSub>
            </m:e>
          </m:acc>
          <m:r>
            <w:rPr>
              <w:rFonts w:ascii="Cambria Math" w:hAnsi="Cambria Math"/>
            </w:rPr>
            <m:t>=16.04-1.391*Hawkishness+5.824*COVID+5.676*(Hawkishness*COVID)</m:t>
          </m:r>
        </m:oMath>
      </m:oMathPara>
    </w:p>
    <w:p w14:paraId="7BE97BF1" w14:textId="493F9174" w:rsidR="003907D5" w:rsidRPr="00101B71" w:rsidRDefault="000437C2" w:rsidP="001D0DEA">
      <w:pPr>
        <w:pStyle w:val="NoSpacing"/>
      </w:pPr>
      <w:r w:rsidRPr="00101B71">
        <w:t>The interpretation of the coefficients is as follows:</w:t>
      </w:r>
    </w:p>
    <w:p w14:paraId="11E896BB" w14:textId="0BD73203" w:rsidR="002D7254" w:rsidRPr="00101B71" w:rsidRDefault="006E53DE" w:rsidP="001D0DEA">
      <w:pPr>
        <w:pStyle w:val="NoSpacing"/>
      </w:pPr>
      <w:r w:rsidRPr="00101B71">
        <w:rPr>
          <w:b/>
          <w:bCs/>
        </w:rPr>
        <w:t>Constant</w:t>
      </w:r>
      <w:r w:rsidRPr="00101B71">
        <w:t xml:space="preserve">: On average, when all other predictors </w:t>
      </w:r>
      <w:r w:rsidR="007E3FCA" w:rsidRPr="00101B71">
        <w:t xml:space="preserve">take value 0, the VSTOXX </w:t>
      </w:r>
      <w:r w:rsidR="00940D7A" w:rsidRPr="00101B71">
        <w:t>amounts to 16.04.</w:t>
      </w:r>
    </w:p>
    <w:p w14:paraId="1E99E04C" w14:textId="480C5685" w:rsidR="00105079" w:rsidRPr="00101B71" w:rsidRDefault="007F24D4" w:rsidP="001D0DEA">
      <w:pPr>
        <w:pStyle w:val="NoSpacing"/>
      </w:pPr>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Hawkishness</m:t>
            </m:r>
          </m:sub>
        </m:sSub>
      </m:oMath>
      <w:r w:rsidR="00C6690F" w:rsidRPr="00101B71">
        <w:t>:</w:t>
      </w:r>
      <w:r w:rsidR="00C56111" w:rsidRPr="00101B71">
        <w:t xml:space="preserve"> On average</w:t>
      </w:r>
      <w:r w:rsidR="00E66F81" w:rsidRPr="00101B71">
        <w:t xml:space="preserve">, and holding everything else constant, a hawkish statement is associated with a </w:t>
      </w:r>
      <w:r w:rsidR="00105079" w:rsidRPr="00101B71">
        <w:t>change</w:t>
      </w:r>
      <w:r w:rsidR="00E66F81" w:rsidRPr="00101B71">
        <w:t xml:space="preserve"> in volatility</w:t>
      </w:r>
      <w:r w:rsidR="00CC14E6" w:rsidRPr="00101B71">
        <w:t xml:space="preserve"> for the period</w:t>
      </w:r>
      <w:r w:rsidR="00E66F81" w:rsidRPr="00101B71">
        <w:t xml:space="preserve"> of </w:t>
      </w:r>
      <w:r w:rsidR="00105079" w:rsidRPr="00101B71">
        <w:t>-</w:t>
      </w:r>
      <w:r w:rsidR="00E66F81" w:rsidRPr="00101B71">
        <w:t>1.391</w:t>
      </w:r>
      <w:r w:rsidR="00105079" w:rsidRPr="00101B71">
        <w:t>.</w:t>
      </w:r>
    </w:p>
    <w:p w14:paraId="5E170935" w14:textId="3C782536" w:rsidR="00940D7A" w:rsidRPr="00101B71" w:rsidRDefault="007F24D4" w:rsidP="001D0DEA">
      <w:pPr>
        <w:pStyle w:val="NoSpacing"/>
      </w:pPr>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COVID</m:t>
            </m:r>
          </m:sub>
        </m:sSub>
      </m:oMath>
      <w:r w:rsidR="00105079" w:rsidRPr="00101B71">
        <w:t xml:space="preserve">: On average, and holding everything else constant, the COVID period </w:t>
      </w:r>
      <w:r w:rsidR="0037305E" w:rsidRPr="00101B71">
        <w:t xml:space="preserve">is associated with a change in volatility </w:t>
      </w:r>
      <w:r w:rsidR="00CC14E6" w:rsidRPr="00101B71">
        <w:t xml:space="preserve">for the period </w:t>
      </w:r>
      <w:r w:rsidR="0037305E" w:rsidRPr="00101B71">
        <w:t xml:space="preserve">of 5.824 compared to non-COVID periods. </w:t>
      </w:r>
    </w:p>
    <w:p w14:paraId="693E021C" w14:textId="1C27F8BC" w:rsidR="000075AE" w:rsidRPr="00101B71" w:rsidRDefault="007F24D4" w:rsidP="001D0DEA">
      <w:pPr>
        <w:pStyle w:val="NoSpacing"/>
      </w:pPr>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Interaction</m:t>
            </m:r>
          </m:sub>
        </m:sSub>
      </m:oMath>
      <w:r w:rsidR="000075AE" w:rsidRPr="00101B71">
        <w:t>:</w:t>
      </w:r>
      <w:r w:rsidR="001664D1" w:rsidRPr="00101B71">
        <w:t xml:space="preserve"> </w:t>
      </w:r>
      <w:r w:rsidR="000075AE" w:rsidRPr="00101B71">
        <w:t xml:space="preserve"> </w:t>
      </w:r>
      <w:r w:rsidR="001664D1" w:rsidRPr="00101B71">
        <w:t xml:space="preserve">On average, and holding everything else constant, the co-occurrence of COVID and </w:t>
      </w:r>
      <w:r w:rsidR="008254F6" w:rsidRPr="00101B71">
        <w:t xml:space="preserve">a hawkish statement </w:t>
      </w:r>
      <w:r w:rsidR="001826FF">
        <w:t>is linked</w:t>
      </w:r>
      <w:r w:rsidR="008254F6" w:rsidRPr="00101B71">
        <w:t xml:space="preserve"> to an increase in volatility</w:t>
      </w:r>
      <w:r w:rsidR="00CC14E6" w:rsidRPr="00101B71">
        <w:t xml:space="preserve"> for the period</w:t>
      </w:r>
      <w:r w:rsidR="008254F6" w:rsidRPr="00101B71">
        <w:t xml:space="preserve"> of </w:t>
      </w:r>
      <w:r w:rsidR="00386394" w:rsidRPr="00101B71">
        <w:t xml:space="preserve">5.676. </w:t>
      </w:r>
    </w:p>
    <w:p w14:paraId="1710147D" w14:textId="1256178C" w:rsidR="00CF296D" w:rsidRPr="00101B71" w:rsidRDefault="00386ADF" w:rsidP="00127495">
      <w:pPr>
        <w:pStyle w:val="NoSpacing"/>
      </w:pPr>
      <w:r w:rsidRPr="00101B71">
        <w:tab/>
        <w:t>From the analysis, it can be concluded that when controlling appropriately for</w:t>
      </w:r>
      <w:r w:rsidR="004F7563" w:rsidRPr="00101B71">
        <w:t xml:space="preserve"> explicit</w:t>
      </w:r>
      <w:r w:rsidRPr="00101B71">
        <w:t xml:space="preserve"> </w:t>
      </w:r>
      <w:r w:rsidR="004F7563" w:rsidRPr="00101B71">
        <w:t>patterns of the error term</w:t>
      </w:r>
      <w:r w:rsidR="00127C3A">
        <w:t>,</w:t>
      </w:r>
      <w:r w:rsidR="000B7EB8" w:rsidRPr="00101B71">
        <w:t xml:space="preserve"> the coefficient of the interaction term becomes positive and statistically significant at the </w:t>
      </w:r>
      <w:r w:rsidR="002D1084" w:rsidRPr="00101B71">
        <w:t>.01</w:t>
      </w:r>
      <w:r w:rsidR="00A1098B" w:rsidRPr="00101B71">
        <w:t xml:space="preserve"> </w:t>
      </w:r>
      <w:r w:rsidR="008550AB" w:rsidRPr="00101B71">
        <w:t>significance level. This might indicate a reversal in how hawkish statements started to be perceived after the COVID</w:t>
      </w:r>
      <w:r w:rsidR="00FB280A">
        <w:t>-19</w:t>
      </w:r>
      <w:r w:rsidR="008550AB" w:rsidRPr="00101B71">
        <w:t xml:space="preserve"> pandemic. </w:t>
      </w:r>
      <w:r w:rsidR="00F075D4" w:rsidRPr="00101B71">
        <w:t>Indeed, if before hawkish statements were associated with a decrease in volatility, during the COVID</w:t>
      </w:r>
      <w:r w:rsidR="00FB280A">
        <w:t>-19</w:t>
      </w:r>
      <w:r w:rsidR="00F075D4" w:rsidRPr="00101B71">
        <w:t xml:space="preserve"> period they became highly associated </w:t>
      </w:r>
      <w:r w:rsidR="00F40661" w:rsidRPr="00101B71">
        <w:t>with</w:t>
      </w:r>
      <w:r w:rsidR="00F075D4" w:rsidRPr="00101B71">
        <w:t xml:space="preserve"> </w:t>
      </w:r>
      <w:r w:rsidR="00870883" w:rsidRPr="00101B71">
        <w:t xml:space="preserve">an increase in equity market’s volatility. </w:t>
      </w:r>
    </w:p>
    <w:p w14:paraId="3BA7BA0F" w14:textId="33D1EA23" w:rsidR="00760A2C" w:rsidRPr="00101B71" w:rsidRDefault="00760A2C" w:rsidP="00760A2C">
      <w:pPr>
        <w:pStyle w:val="Heading1"/>
      </w:pPr>
      <w:bookmarkStart w:id="13" w:name="_Toc132643771"/>
      <w:r w:rsidRPr="00101B71">
        <w:t>Limitations of the Study</w:t>
      </w:r>
      <w:bookmarkEnd w:id="13"/>
    </w:p>
    <w:p w14:paraId="4196692C" w14:textId="1EE26EF7" w:rsidR="00BF4CB4" w:rsidRPr="00101B71" w:rsidRDefault="00BF4CB4" w:rsidP="00BF4CB4">
      <w:r w:rsidRPr="00101B71">
        <w:t xml:space="preserve">The main limitations of the current study are reflected in </w:t>
      </w:r>
      <w:r w:rsidR="008200CD" w:rsidRPr="00101B71">
        <w:t xml:space="preserve">data on </w:t>
      </w:r>
      <w:r w:rsidR="00FC2C3E" w:rsidRPr="00101B71">
        <w:t xml:space="preserve">futures contracts whose availability </w:t>
      </w:r>
      <w:r w:rsidR="00735D07" w:rsidRPr="00101B71">
        <w:t>could not cover the entire period of the analysis</w:t>
      </w:r>
      <w:r w:rsidR="00F87F30" w:rsidRPr="00101B71">
        <w:t>.</w:t>
      </w:r>
      <w:r w:rsidR="00735D07" w:rsidRPr="00101B71">
        <w:t xml:space="preserve"> This caused a sample reduction when analyzing the surprise component of monetary policies and did not allow for the introduction of the interaction </w:t>
      </w:r>
      <w:r w:rsidR="00780E30" w:rsidRPr="00101B71">
        <w:t xml:space="preserve">term between COVID and the tone of the statement. </w:t>
      </w:r>
      <w:r w:rsidR="008C266C" w:rsidRPr="00101B71">
        <w:t>This was mainly because u</w:t>
      </w:r>
      <w:r w:rsidR="005747A5" w:rsidRPr="00101B71">
        <w:t>ntil December 2021 there was no co-occurrence of COVID</w:t>
      </w:r>
      <w:r w:rsidR="00291681">
        <w:t>-19</w:t>
      </w:r>
      <w:r w:rsidR="005747A5" w:rsidRPr="00101B71">
        <w:t xml:space="preserve"> and a hawkish statement, making </w:t>
      </w:r>
      <w:r w:rsidR="002F1183" w:rsidRPr="00101B71">
        <w:t xml:space="preserve">the introduction of </w:t>
      </w:r>
      <w:r w:rsidR="005747A5" w:rsidRPr="00101B71">
        <w:t xml:space="preserve">an interaction term </w:t>
      </w:r>
      <w:r w:rsidR="002F1183" w:rsidRPr="00101B71">
        <w:t xml:space="preserve">useless. </w:t>
      </w:r>
    </w:p>
    <w:p w14:paraId="7B8E7210" w14:textId="6B8C1523" w:rsidR="002F1183" w:rsidRPr="00101B71" w:rsidRDefault="002F1183" w:rsidP="00BF4CB4">
      <w:r w:rsidRPr="00101B71">
        <w:t xml:space="preserve">Moreover, while the GARCH model </w:t>
      </w:r>
      <w:r w:rsidR="007D30E2" w:rsidRPr="00101B71">
        <w:t xml:space="preserve">solved some of the issues </w:t>
      </w:r>
      <w:r w:rsidR="00623D34" w:rsidRPr="00101B71">
        <w:t xml:space="preserve">of previous linear models by correcting for conditional volatility, </w:t>
      </w:r>
      <w:r w:rsidR="00690BE4" w:rsidRPr="00101B71">
        <w:t xml:space="preserve">it still presents some issues when it undergoes further </w:t>
      </w:r>
      <w:r w:rsidR="00D43448" w:rsidRPr="00101B71">
        <w:t xml:space="preserve">diagnostics. For instance, </w:t>
      </w:r>
      <w:r w:rsidR="00E641C8" w:rsidRPr="00101B71">
        <w:t xml:space="preserve">from </w:t>
      </w:r>
      <w:r w:rsidR="006158A2" w:rsidRPr="00101B71">
        <w:rPr>
          <w:i/>
          <w:iCs/>
        </w:rPr>
        <w:t xml:space="preserve">Figure 4 </w:t>
      </w:r>
      <w:r w:rsidR="006158A2" w:rsidRPr="00101B71">
        <w:t xml:space="preserve">it is possible to see that the mean of the residuals </w:t>
      </w:r>
      <w:r w:rsidR="002F0B61" w:rsidRPr="00101B71">
        <w:t xml:space="preserve">obtained from the GARCH model </w:t>
      </w:r>
      <w:r w:rsidR="002F4D60" w:rsidRPr="00101B71">
        <w:t>is not 0</w:t>
      </w:r>
      <w:r w:rsidR="00970015" w:rsidRPr="00101B71">
        <w:t>, thus suggesting that it does not closely mirror</w:t>
      </w:r>
      <w:r w:rsidR="00041DBF">
        <w:t xml:space="preserve"> </w:t>
      </w:r>
      <w:r w:rsidR="005220A4">
        <w:t>normally distributed</w:t>
      </w:r>
      <w:r w:rsidR="00970015" w:rsidRPr="00101B71">
        <w:t xml:space="preserve"> white noise</w:t>
      </w:r>
      <w:r w:rsidR="005220A4">
        <w:t xml:space="preserve"> centered about 0</w:t>
      </w:r>
      <w:r w:rsidR="00970015" w:rsidRPr="00101B71">
        <w:t xml:space="preserve">. </w:t>
      </w:r>
      <w:r w:rsidR="005220A4">
        <w:t xml:space="preserve">Although this is </w:t>
      </w:r>
      <w:r w:rsidR="002F55BE">
        <w:t xml:space="preserve">a violation of </w:t>
      </w:r>
      <w:r w:rsidR="005220A4">
        <w:t xml:space="preserve">one of the assumptions </w:t>
      </w:r>
      <w:r w:rsidR="0003060A">
        <w:t>of the GARCH model</w:t>
      </w:r>
      <w:r w:rsidR="00D71DC8" w:rsidRPr="00101B71">
        <w:t xml:space="preserve">, no other pattern seems to be emerging from </w:t>
      </w:r>
      <w:r w:rsidR="00A347EC" w:rsidRPr="00101B71">
        <w:t>the residuals</w:t>
      </w:r>
      <w:r w:rsidR="00216EE4" w:rsidRPr="00101B71">
        <w:t xml:space="preserve"> </w:t>
      </w:r>
      <w:r w:rsidR="00A347EC" w:rsidRPr="00101B71">
        <w:t xml:space="preserve">signaling that </w:t>
      </w:r>
      <w:r w:rsidR="00216EE4" w:rsidRPr="00101B71">
        <w:t xml:space="preserve">most of their predictable </w:t>
      </w:r>
      <w:r w:rsidR="009D6156" w:rsidRPr="00101B71">
        <w:t xml:space="preserve">power has been included in the conditional variance equation. </w:t>
      </w:r>
    </w:p>
    <w:p w14:paraId="65CF080E" w14:textId="1C792CB1" w:rsidR="00E66120" w:rsidRPr="00101B71" w:rsidRDefault="00E66120" w:rsidP="00BF4CB4">
      <w:r w:rsidRPr="00101B71">
        <w:t xml:space="preserve">Lastly, all models presented </w:t>
      </w:r>
      <w:r w:rsidR="00781850" w:rsidRPr="00101B71">
        <w:t xml:space="preserve">in this study </w:t>
      </w:r>
      <w:r w:rsidR="001F42DB" w:rsidRPr="00101B71">
        <w:t>were not tested on an out-of-sample basis and</w:t>
      </w:r>
      <w:r w:rsidR="00781850" w:rsidRPr="00101B71">
        <w:t>, therefore, their true forecasting power</w:t>
      </w:r>
      <w:r w:rsidR="00AC0D55" w:rsidRPr="00101B71">
        <w:t xml:space="preserve"> cannot be determined.</w:t>
      </w:r>
      <w:r w:rsidR="001B356B" w:rsidRPr="00101B71">
        <w:t xml:space="preserve"> This approach could be improved </w:t>
      </w:r>
      <w:r w:rsidR="00190D62" w:rsidRPr="00101B71">
        <w:t xml:space="preserve">by either using Machine Learning algorithms coupled with validation processes or by leaving out a test </w:t>
      </w:r>
      <w:r w:rsidR="002373DB" w:rsidRPr="00101B71">
        <w:t>portion of the dataset</w:t>
      </w:r>
      <w:r w:rsidR="00FE70CA" w:rsidRPr="00101B71">
        <w:t>.</w:t>
      </w:r>
      <w:r w:rsidR="00B039D5" w:rsidRPr="00101B71">
        <w:t xml:space="preserve"> Given the small</w:t>
      </w:r>
      <w:r w:rsidR="00B51E73" w:rsidRPr="00101B71">
        <w:t xml:space="preserve"> size of this dataset, leaving a test portion out would have </w:t>
      </w:r>
      <w:r w:rsidR="000F653B" w:rsidRPr="00101B71">
        <w:t>represented a significant drawback of the analysis and</w:t>
      </w:r>
      <w:r w:rsidR="001E22F0">
        <w:t>,</w:t>
      </w:r>
      <w:r w:rsidR="000F653B" w:rsidRPr="00101B71">
        <w:t xml:space="preserve"> therefore</w:t>
      </w:r>
      <w:r w:rsidR="001E22F0">
        <w:t>,</w:t>
      </w:r>
      <w:r w:rsidR="000F653B" w:rsidRPr="00101B71">
        <w:t xml:space="preserve"> it was not </w:t>
      </w:r>
      <w:r w:rsidR="0075234D" w:rsidRPr="00101B71">
        <w:t>performed</w:t>
      </w:r>
      <w:r w:rsidR="00B039D5" w:rsidRPr="00101B71">
        <w:t>.</w:t>
      </w:r>
      <w:r w:rsidR="00FE70CA" w:rsidRPr="00101B71">
        <w:t xml:space="preserve"> Advanced methods that would be also useful to improve on the current study would require the implementation of appropriately trained </w:t>
      </w:r>
      <w:r w:rsidR="009464EB" w:rsidRPr="00101B71">
        <w:t>Recurrent Neural Network</w:t>
      </w:r>
      <w:r w:rsidR="00A51DF5" w:rsidRPr="00101B71">
        <w:t>s</w:t>
      </w:r>
      <w:r w:rsidR="009464EB" w:rsidRPr="00101B71">
        <w:t xml:space="preserve"> (RNN</w:t>
      </w:r>
      <w:r w:rsidR="00A51DF5" w:rsidRPr="00101B71">
        <w:t>s</w:t>
      </w:r>
      <w:r w:rsidR="009464EB" w:rsidRPr="00101B71">
        <w:t>)</w:t>
      </w:r>
      <w:r w:rsidR="00EC4AEA" w:rsidRPr="00101B71">
        <w:t>.</w:t>
      </w:r>
      <w:r w:rsidR="009464EB" w:rsidRPr="00101B71">
        <w:t xml:space="preserve"> </w:t>
      </w:r>
      <w:r w:rsidR="00EC4AEA" w:rsidRPr="00101B71">
        <w:t>The</w:t>
      </w:r>
      <w:r w:rsidR="00A51DF5" w:rsidRPr="00101B71">
        <w:t xml:space="preserve"> ability </w:t>
      </w:r>
      <w:r w:rsidR="00EC4AEA" w:rsidRPr="00101B71">
        <w:t xml:space="preserve">of such </w:t>
      </w:r>
      <w:r w:rsidR="00887C8E">
        <w:t>machine learning algorithms</w:t>
      </w:r>
      <w:r w:rsidR="008B72CD" w:rsidRPr="00101B71">
        <w:t xml:space="preserve"> to</w:t>
      </w:r>
      <w:r w:rsidR="00A51DF5" w:rsidRPr="00101B71">
        <w:t xml:space="preserve"> automatically determine </w:t>
      </w:r>
      <w:r w:rsidR="009B2B9B" w:rsidRPr="00101B71">
        <w:t xml:space="preserve">optimal </w:t>
      </w:r>
      <w:r w:rsidR="00EC4AEA" w:rsidRPr="00101B71">
        <w:t xml:space="preserve">synaptic weights </w:t>
      </w:r>
      <w:r w:rsidR="008B72CD" w:rsidRPr="00101B71">
        <w:t xml:space="preserve">could dramatically enhance the </w:t>
      </w:r>
      <w:r w:rsidR="00AD0774" w:rsidRPr="00101B71">
        <w:t>forecast</w:t>
      </w:r>
      <w:r w:rsidR="00230742" w:rsidRPr="00101B71">
        <w:t xml:space="preserve"> </w:t>
      </w:r>
      <w:r w:rsidR="00AD0774" w:rsidRPr="00101B71">
        <w:t>outcomes</w:t>
      </w:r>
      <w:r w:rsidR="00230742" w:rsidRPr="00101B71">
        <w:t xml:space="preserve"> (Di-Giorgi et al., 2023). </w:t>
      </w:r>
      <w:r w:rsidR="0076064F" w:rsidRPr="00101B71">
        <w:t xml:space="preserve">Together all those suggestions can be </w:t>
      </w:r>
      <w:r w:rsidR="00E23EB9" w:rsidRPr="00101B71">
        <w:t xml:space="preserve">considered in future studies to improve upon the outcomes of the </w:t>
      </w:r>
      <w:r w:rsidR="00DE456C">
        <w:t xml:space="preserve">present </w:t>
      </w:r>
      <w:r w:rsidR="00E23EB9" w:rsidRPr="00101B71">
        <w:t>a</w:t>
      </w:r>
      <w:r w:rsidR="00636B92" w:rsidRPr="00101B71">
        <w:t>nalysis</w:t>
      </w:r>
      <w:r w:rsidR="00350852" w:rsidRPr="00101B71">
        <w:t>.</w:t>
      </w:r>
    </w:p>
    <w:p w14:paraId="62A93EB8" w14:textId="046EEAAC" w:rsidR="009B2724" w:rsidRPr="00101B71" w:rsidRDefault="00284E5A" w:rsidP="00284E5A">
      <w:pPr>
        <w:pStyle w:val="Heading1"/>
      </w:pPr>
      <w:bookmarkStart w:id="14" w:name="_Toc132643772"/>
      <w:r w:rsidRPr="00101B71">
        <w:t>Conclusion</w:t>
      </w:r>
      <w:bookmarkEnd w:id="14"/>
    </w:p>
    <w:p w14:paraId="312EB1F6" w14:textId="09B9BD04" w:rsidR="004A6EE4" w:rsidRPr="00101B71" w:rsidRDefault="00634FE2" w:rsidP="0075234D">
      <w:r w:rsidRPr="00101B71">
        <w:t xml:space="preserve">To sum up, this study </w:t>
      </w:r>
      <w:r w:rsidR="006E1886" w:rsidRPr="00101B71">
        <w:t xml:space="preserve">found evidence supporting the </w:t>
      </w:r>
      <w:r w:rsidR="00536825" w:rsidRPr="00101B71">
        <w:t>hypothesis</w:t>
      </w:r>
      <w:r w:rsidR="006E1886" w:rsidRPr="00101B71">
        <w:t xml:space="preserve"> that volatility in equity markets </w:t>
      </w:r>
      <w:r w:rsidR="007C31B0" w:rsidRPr="00101B71">
        <w:t xml:space="preserve">is significantly related to </w:t>
      </w:r>
      <w:r w:rsidR="00D87298" w:rsidRPr="00101B71">
        <w:t xml:space="preserve">the tone of </w:t>
      </w:r>
      <w:r w:rsidR="009E1744">
        <w:t>c</w:t>
      </w:r>
      <w:r w:rsidR="00D87298" w:rsidRPr="00101B71">
        <w:t xml:space="preserve">entral </w:t>
      </w:r>
      <w:r w:rsidR="009E1744">
        <w:t>b</w:t>
      </w:r>
      <w:r w:rsidR="00D87298" w:rsidRPr="00101B71">
        <w:t>anks’ statements an</w:t>
      </w:r>
      <w:r w:rsidR="00FC51D2" w:rsidRPr="00101B71">
        <w:t xml:space="preserve">d the surprise component of interest rate changes. </w:t>
      </w:r>
      <w:r w:rsidR="00051439" w:rsidRPr="00101B71">
        <w:t xml:space="preserve">Specifically, it concluded that, based on a sample from 2015 to 2021, </w:t>
      </w:r>
      <w:r w:rsidR="00A21AF3" w:rsidRPr="00101B71">
        <w:t>a 25 b</w:t>
      </w:r>
      <w:r w:rsidR="0075234D" w:rsidRPr="00101B71">
        <w:t>p</w:t>
      </w:r>
      <w:r w:rsidR="00A21AF3" w:rsidRPr="00101B71">
        <w:t xml:space="preserve"> unexpected change in interest rate would lead to an increase in volatility of 4.57</w:t>
      </w:r>
      <w:r w:rsidR="009A3662" w:rsidRPr="00101B71">
        <w:t xml:space="preserve"> - about</w:t>
      </w:r>
      <w:r w:rsidR="00DD09C5" w:rsidRPr="00101B71">
        <w:t xml:space="preserve"> a 25% increase when considering the average</w:t>
      </w:r>
      <w:r w:rsidR="00E66120" w:rsidRPr="00101B71">
        <w:t xml:space="preserve"> volatility</w:t>
      </w:r>
      <w:r w:rsidR="00DD09C5" w:rsidRPr="00101B71">
        <w:t xml:space="preserve"> in this time window. </w:t>
      </w:r>
      <w:r w:rsidR="00A820EC" w:rsidRPr="00101B71">
        <w:t xml:space="preserve">Although in a first model the hawkishness of the tone was found to be significantly negatively correlated to volatility, </w:t>
      </w:r>
      <w:r w:rsidR="00923DED" w:rsidRPr="00101B71">
        <w:t>another model considering the interaction of the hawkishness of the statement with the COVID</w:t>
      </w:r>
      <w:r w:rsidR="009E1744">
        <w:t>-19</w:t>
      </w:r>
      <w:r w:rsidR="00923DED" w:rsidRPr="00101B71">
        <w:t xml:space="preserve"> period </w:t>
      </w:r>
      <w:r w:rsidR="00E33AE3" w:rsidRPr="00101B71">
        <w:t>returned a significant and positive coefficient</w:t>
      </w:r>
      <w:r w:rsidR="006F3C27" w:rsidRPr="00101B71">
        <w:t>.</w:t>
      </w:r>
      <w:r w:rsidR="00E33AE3" w:rsidRPr="00101B71">
        <w:t xml:space="preserve"> </w:t>
      </w:r>
      <w:r w:rsidR="006F3C27" w:rsidRPr="00101B71">
        <w:t xml:space="preserve">This finding highlights how the pandemic period is </w:t>
      </w:r>
      <w:r w:rsidR="00CA473B" w:rsidRPr="00101B71">
        <w:t xml:space="preserve">linked to </w:t>
      </w:r>
      <w:r w:rsidR="006F3C27" w:rsidRPr="00101B71">
        <w:t xml:space="preserve">a reversal in </w:t>
      </w:r>
      <w:r w:rsidR="00EA20CC" w:rsidRPr="00101B71">
        <w:t xml:space="preserve">equity markets’ perception of </w:t>
      </w:r>
      <w:r w:rsidR="00C9581B" w:rsidRPr="00101B71">
        <w:t xml:space="preserve">hawkish statements, with them being </w:t>
      </w:r>
      <w:r w:rsidR="008E5884" w:rsidRPr="00101B71">
        <w:t xml:space="preserve">now </w:t>
      </w:r>
      <w:r w:rsidR="00C9581B" w:rsidRPr="00101B71">
        <w:t>perceived as an indicator of higher risk and</w:t>
      </w:r>
      <w:r w:rsidR="008E5884" w:rsidRPr="00101B71">
        <w:t xml:space="preserve">, therefore, relating </w:t>
      </w:r>
      <w:r w:rsidR="0081723B" w:rsidRPr="00101B71">
        <w:t>positively</w:t>
      </w:r>
      <w:r w:rsidR="008E5884" w:rsidRPr="00101B71">
        <w:t xml:space="preserve"> to volatility.</w:t>
      </w:r>
    </w:p>
    <w:bookmarkStart w:id="15" w:name="_Toc132643773" w:displacedByCustomXml="next"/>
    <w:sdt>
      <w:sdtPr>
        <w:rPr>
          <w:rFonts w:asciiTheme="minorHAnsi" w:eastAsiaTheme="minorEastAsia" w:hAnsiTheme="minorHAnsi" w:cstheme="minorBidi"/>
        </w:rPr>
        <w:id w:val="-573587230"/>
        <w:bibliography/>
      </w:sdtPr>
      <w:sdtEndPr/>
      <w:sdtContent>
        <w:p w14:paraId="6396DA3F" w14:textId="77777777" w:rsidR="008C1C75" w:rsidRPr="00101B71" w:rsidRDefault="00CE59D0">
          <w:pPr>
            <w:pStyle w:val="SectionTitle"/>
          </w:pPr>
          <w:r w:rsidRPr="00101B71">
            <w:rPr>
              <w:lang w:bidi="en-GB"/>
            </w:rPr>
            <w:t>References</w:t>
          </w:r>
          <w:bookmarkEnd w:id="15"/>
        </w:p>
        <w:p w14:paraId="182B9ADE" w14:textId="77777777" w:rsidR="003702A5" w:rsidRPr="00101B71" w:rsidRDefault="003702A5" w:rsidP="003702A5">
          <w:pPr>
            <w:shd w:val="clear" w:color="auto" w:fill="FFFFFF"/>
            <w:spacing w:line="480" w:lineRule="atLeast"/>
            <w:ind w:left="720" w:hanging="720"/>
            <w:rPr>
              <w:rFonts w:ascii="Times New Roman" w:eastAsia="Times New Roman" w:hAnsi="Times New Roman" w:cs="Times New Roman"/>
              <w:color w:val="000000"/>
              <w:kern w:val="0"/>
              <w:lang w:eastAsia="en-GB"/>
            </w:rPr>
          </w:pPr>
          <w:r w:rsidRPr="00101B71">
            <w:rPr>
              <w:rFonts w:ascii="Times New Roman" w:eastAsia="Times New Roman" w:hAnsi="Times New Roman" w:cs="Times New Roman"/>
              <w:color w:val="000000"/>
              <w:kern w:val="0"/>
              <w:lang w:eastAsia="en-GB"/>
            </w:rPr>
            <w:t>Amato, J. D., &amp; Shin, H. S. (2002). Communication and Monetary Policy. </w:t>
          </w:r>
          <w:r w:rsidRPr="00101B71">
            <w:rPr>
              <w:rFonts w:ascii="Times New Roman" w:eastAsia="Times New Roman" w:hAnsi="Times New Roman" w:cs="Times New Roman"/>
              <w:i/>
              <w:iCs/>
              <w:color w:val="000000"/>
              <w:kern w:val="0"/>
              <w:lang w:eastAsia="en-GB"/>
            </w:rPr>
            <w:t>Oxford Review of Economic Policy</w:t>
          </w:r>
          <w:r w:rsidRPr="00101B71">
            <w:rPr>
              <w:rFonts w:ascii="Times New Roman" w:eastAsia="Times New Roman" w:hAnsi="Times New Roman" w:cs="Times New Roman"/>
              <w:color w:val="000000"/>
              <w:kern w:val="0"/>
              <w:lang w:eastAsia="en-GB"/>
            </w:rPr>
            <w:t>, </w:t>
          </w:r>
          <w:r w:rsidRPr="00101B71">
            <w:rPr>
              <w:rFonts w:ascii="Times New Roman" w:eastAsia="Times New Roman" w:hAnsi="Times New Roman" w:cs="Times New Roman"/>
              <w:i/>
              <w:iCs/>
              <w:color w:val="000000"/>
              <w:kern w:val="0"/>
              <w:lang w:eastAsia="en-GB"/>
            </w:rPr>
            <w:t>18</w:t>
          </w:r>
          <w:r w:rsidRPr="00101B71">
            <w:rPr>
              <w:rFonts w:ascii="Times New Roman" w:eastAsia="Times New Roman" w:hAnsi="Times New Roman" w:cs="Times New Roman"/>
              <w:color w:val="000000"/>
              <w:kern w:val="0"/>
              <w:lang w:eastAsia="en-GB"/>
            </w:rPr>
            <w:t>(4), 495–503. https://doi.org/10.1093/oxrep/18.4.495</w:t>
          </w:r>
        </w:p>
        <w:p w14:paraId="5BE0FA28" w14:textId="77777777" w:rsidR="003702A5" w:rsidRPr="00101B71" w:rsidRDefault="003702A5" w:rsidP="003702A5">
          <w:pPr>
            <w:shd w:val="clear" w:color="auto" w:fill="FFFFFF"/>
            <w:spacing w:line="480" w:lineRule="atLeast"/>
            <w:ind w:left="720" w:hanging="720"/>
            <w:rPr>
              <w:rFonts w:ascii="Times New Roman" w:eastAsia="Times New Roman" w:hAnsi="Times New Roman" w:cs="Times New Roman"/>
              <w:color w:val="000000"/>
              <w:kern w:val="0"/>
              <w:lang w:eastAsia="en-GB"/>
            </w:rPr>
          </w:pPr>
          <w:r w:rsidRPr="00101B71">
            <w:rPr>
              <w:rFonts w:ascii="Times New Roman" w:eastAsia="Times New Roman" w:hAnsi="Times New Roman" w:cs="Times New Roman"/>
              <w:color w:val="000000"/>
              <w:kern w:val="0"/>
              <w:lang w:eastAsia="en-GB"/>
            </w:rPr>
            <w:t>Amihud, Y., Mendelson, H., &amp; Murgia, M. (1990). Stock market microstructure and return volatility. </w:t>
          </w:r>
          <w:r w:rsidRPr="00101B71">
            <w:rPr>
              <w:rFonts w:ascii="Times New Roman" w:eastAsia="Times New Roman" w:hAnsi="Times New Roman" w:cs="Times New Roman"/>
              <w:i/>
              <w:iCs/>
              <w:color w:val="000000"/>
              <w:kern w:val="0"/>
              <w:lang w:eastAsia="en-GB"/>
            </w:rPr>
            <w:t>Journal of Banking &amp; Finance</w:t>
          </w:r>
          <w:r w:rsidRPr="00101B71">
            <w:rPr>
              <w:rFonts w:ascii="Times New Roman" w:eastAsia="Times New Roman" w:hAnsi="Times New Roman" w:cs="Times New Roman"/>
              <w:color w:val="000000"/>
              <w:kern w:val="0"/>
              <w:lang w:eastAsia="en-GB"/>
            </w:rPr>
            <w:t>, </w:t>
          </w:r>
          <w:r w:rsidRPr="00101B71">
            <w:rPr>
              <w:rFonts w:ascii="Times New Roman" w:eastAsia="Times New Roman" w:hAnsi="Times New Roman" w:cs="Times New Roman"/>
              <w:i/>
              <w:iCs/>
              <w:color w:val="000000"/>
              <w:kern w:val="0"/>
              <w:lang w:eastAsia="en-GB"/>
            </w:rPr>
            <w:t>14</w:t>
          </w:r>
          <w:r w:rsidRPr="00101B71">
            <w:rPr>
              <w:rFonts w:ascii="Times New Roman" w:eastAsia="Times New Roman" w:hAnsi="Times New Roman" w:cs="Times New Roman"/>
              <w:color w:val="000000"/>
              <w:kern w:val="0"/>
              <w:lang w:eastAsia="en-GB"/>
            </w:rPr>
            <w:t>(2-3), 423–440. https://doi.org/10.1016/0378-4266(90)90057-9</w:t>
          </w:r>
        </w:p>
        <w:p w14:paraId="60E9C39F" w14:textId="77777777" w:rsidR="003702A5" w:rsidRPr="00101B71" w:rsidRDefault="003702A5" w:rsidP="003702A5">
          <w:pPr>
            <w:shd w:val="clear" w:color="auto" w:fill="FFFFFF"/>
            <w:spacing w:line="480" w:lineRule="atLeast"/>
            <w:ind w:left="720" w:hanging="720"/>
            <w:rPr>
              <w:rFonts w:ascii="Times New Roman" w:eastAsia="Times New Roman" w:hAnsi="Times New Roman" w:cs="Times New Roman"/>
              <w:color w:val="000000"/>
              <w:kern w:val="0"/>
              <w:lang w:eastAsia="en-GB"/>
            </w:rPr>
          </w:pPr>
          <w:r w:rsidRPr="00101B71">
            <w:rPr>
              <w:rFonts w:ascii="Times New Roman" w:eastAsia="Times New Roman" w:hAnsi="Times New Roman" w:cs="Times New Roman"/>
              <w:color w:val="000000"/>
              <w:kern w:val="0"/>
              <w:lang w:eastAsia="en-GB"/>
            </w:rPr>
            <w:t>Ball, L., &amp; Mankiw, N. G. (1995). Relative-Price Changes as Aggregate Supply Shocks. </w:t>
          </w:r>
          <w:r w:rsidRPr="00101B71">
            <w:rPr>
              <w:rFonts w:ascii="Times New Roman" w:eastAsia="Times New Roman" w:hAnsi="Times New Roman" w:cs="Times New Roman"/>
              <w:i/>
              <w:iCs/>
              <w:color w:val="000000"/>
              <w:kern w:val="0"/>
              <w:lang w:eastAsia="en-GB"/>
            </w:rPr>
            <w:t>The Quarterly Journal of Economics</w:t>
          </w:r>
          <w:r w:rsidRPr="00101B71">
            <w:rPr>
              <w:rFonts w:ascii="Times New Roman" w:eastAsia="Times New Roman" w:hAnsi="Times New Roman" w:cs="Times New Roman"/>
              <w:color w:val="000000"/>
              <w:kern w:val="0"/>
              <w:lang w:eastAsia="en-GB"/>
            </w:rPr>
            <w:t>, </w:t>
          </w:r>
          <w:r w:rsidRPr="00101B71">
            <w:rPr>
              <w:rFonts w:ascii="Times New Roman" w:eastAsia="Times New Roman" w:hAnsi="Times New Roman" w:cs="Times New Roman"/>
              <w:i/>
              <w:iCs/>
              <w:color w:val="000000"/>
              <w:kern w:val="0"/>
              <w:lang w:eastAsia="en-GB"/>
            </w:rPr>
            <w:t>110</w:t>
          </w:r>
          <w:r w:rsidRPr="00101B71">
            <w:rPr>
              <w:rFonts w:ascii="Times New Roman" w:eastAsia="Times New Roman" w:hAnsi="Times New Roman" w:cs="Times New Roman"/>
              <w:color w:val="000000"/>
              <w:kern w:val="0"/>
              <w:lang w:eastAsia="en-GB"/>
            </w:rPr>
            <w:t>(1), 161–193. https://doi.org/10.2307/2118514</w:t>
          </w:r>
        </w:p>
        <w:p w14:paraId="0302849B" w14:textId="77777777" w:rsidR="003702A5" w:rsidRPr="00101B71" w:rsidRDefault="003702A5" w:rsidP="003702A5">
          <w:pPr>
            <w:shd w:val="clear" w:color="auto" w:fill="FFFFFF"/>
            <w:spacing w:line="480" w:lineRule="atLeast"/>
            <w:ind w:left="720" w:hanging="720"/>
            <w:rPr>
              <w:rFonts w:ascii="Times New Roman" w:eastAsia="Times New Roman" w:hAnsi="Times New Roman" w:cs="Times New Roman"/>
              <w:color w:val="000000"/>
              <w:kern w:val="0"/>
              <w:lang w:eastAsia="en-GB"/>
            </w:rPr>
          </w:pPr>
          <w:r w:rsidRPr="00101B71">
            <w:rPr>
              <w:rFonts w:ascii="Times New Roman" w:eastAsia="Times New Roman" w:hAnsi="Times New Roman" w:cs="Times New Roman"/>
              <w:color w:val="000000"/>
              <w:kern w:val="0"/>
              <w:lang w:eastAsia="en-GB"/>
            </w:rPr>
            <w:t>BERNANKE, B. S., &amp; KUTTNER, K. N. (2005). What Explains the Stock Market’s Reaction to Federal Reserve Policy? </w:t>
          </w:r>
          <w:r w:rsidRPr="00101B71">
            <w:rPr>
              <w:rFonts w:ascii="Times New Roman" w:eastAsia="Times New Roman" w:hAnsi="Times New Roman" w:cs="Times New Roman"/>
              <w:i/>
              <w:iCs/>
              <w:color w:val="000000"/>
              <w:kern w:val="0"/>
              <w:lang w:eastAsia="en-GB"/>
            </w:rPr>
            <w:t>The Journal of Finance</w:t>
          </w:r>
          <w:r w:rsidRPr="00101B71">
            <w:rPr>
              <w:rFonts w:ascii="Times New Roman" w:eastAsia="Times New Roman" w:hAnsi="Times New Roman" w:cs="Times New Roman"/>
              <w:color w:val="000000"/>
              <w:kern w:val="0"/>
              <w:lang w:eastAsia="en-GB"/>
            </w:rPr>
            <w:t>, </w:t>
          </w:r>
          <w:r w:rsidRPr="00101B71">
            <w:rPr>
              <w:rFonts w:ascii="Times New Roman" w:eastAsia="Times New Roman" w:hAnsi="Times New Roman" w:cs="Times New Roman"/>
              <w:i/>
              <w:iCs/>
              <w:color w:val="000000"/>
              <w:kern w:val="0"/>
              <w:lang w:eastAsia="en-GB"/>
            </w:rPr>
            <w:t>60</w:t>
          </w:r>
          <w:r w:rsidRPr="00101B71">
            <w:rPr>
              <w:rFonts w:ascii="Times New Roman" w:eastAsia="Times New Roman" w:hAnsi="Times New Roman" w:cs="Times New Roman"/>
              <w:color w:val="000000"/>
              <w:kern w:val="0"/>
              <w:lang w:eastAsia="en-GB"/>
            </w:rPr>
            <w:t>(3), 1221–1257. https://doi.org/10.1111/j.1540-6261.2005.00760.x</w:t>
          </w:r>
        </w:p>
        <w:p w14:paraId="12A5D99F" w14:textId="77777777" w:rsidR="003702A5" w:rsidRPr="00101B71" w:rsidRDefault="003702A5" w:rsidP="003702A5">
          <w:pPr>
            <w:shd w:val="clear" w:color="auto" w:fill="FFFFFF"/>
            <w:spacing w:line="480" w:lineRule="atLeast"/>
            <w:ind w:left="720" w:hanging="720"/>
            <w:rPr>
              <w:rFonts w:ascii="Times New Roman" w:eastAsia="Times New Roman" w:hAnsi="Times New Roman" w:cs="Times New Roman"/>
              <w:color w:val="000000"/>
              <w:kern w:val="0"/>
              <w:lang w:eastAsia="en-GB"/>
            </w:rPr>
          </w:pPr>
          <w:r w:rsidRPr="00101B71">
            <w:rPr>
              <w:rFonts w:ascii="Times New Roman" w:eastAsia="Times New Roman" w:hAnsi="Times New Roman" w:cs="Times New Roman"/>
              <w:color w:val="000000"/>
              <w:kern w:val="0"/>
              <w:lang w:eastAsia="en-GB"/>
            </w:rPr>
            <w:t>Di-Giorgi, G., Salas, R., Avaria, R., Ubal, C., Rosas, H., &amp; Torres, R. (2023). Volatility forecasting using deep recurrent neural networks as GARCH models. </w:t>
          </w:r>
          <w:r w:rsidRPr="00101B71">
            <w:rPr>
              <w:rFonts w:ascii="Times New Roman" w:eastAsia="Times New Roman" w:hAnsi="Times New Roman" w:cs="Times New Roman"/>
              <w:i/>
              <w:iCs/>
              <w:color w:val="000000"/>
              <w:kern w:val="0"/>
              <w:lang w:eastAsia="en-GB"/>
            </w:rPr>
            <w:t>Computational Statistics</w:t>
          </w:r>
          <w:r w:rsidRPr="00101B71">
            <w:rPr>
              <w:rFonts w:ascii="Times New Roman" w:eastAsia="Times New Roman" w:hAnsi="Times New Roman" w:cs="Times New Roman"/>
              <w:color w:val="000000"/>
              <w:kern w:val="0"/>
              <w:lang w:eastAsia="en-GB"/>
            </w:rPr>
            <w:t>. https://doi.org/10.1007/s00180-023-01349-1</w:t>
          </w:r>
        </w:p>
        <w:p w14:paraId="7F9A5BC9" w14:textId="77777777" w:rsidR="003702A5" w:rsidRPr="00101B71" w:rsidRDefault="003702A5" w:rsidP="003702A5">
          <w:pPr>
            <w:shd w:val="clear" w:color="auto" w:fill="FFFFFF"/>
            <w:spacing w:line="480" w:lineRule="atLeast"/>
            <w:ind w:left="720" w:hanging="720"/>
            <w:rPr>
              <w:rFonts w:ascii="Times New Roman" w:eastAsia="Times New Roman" w:hAnsi="Times New Roman" w:cs="Times New Roman"/>
              <w:color w:val="000000"/>
              <w:kern w:val="0"/>
              <w:lang w:eastAsia="en-GB"/>
            </w:rPr>
          </w:pPr>
          <w:r w:rsidRPr="00101B71">
            <w:rPr>
              <w:rFonts w:ascii="Times New Roman" w:eastAsia="Times New Roman" w:hAnsi="Times New Roman" w:cs="Times New Roman"/>
              <w:color w:val="000000"/>
              <w:kern w:val="0"/>
              <w:lang w:eastAsia="en-GB"/>
            </w:rPr>
            <w:t>Fišer, R., &amp; Horváth, R. (2010). Central bank communication and exchange rate volatility: a GARCH analysis. </w:t>
          </w:r>
          <w:r w:rsidRPr="00101B71">
            <w:rPr>
              <w:rFonts w:ascii="Times New Roman" w:eastAsia="Times New Roman" w:hAnsi="Times New Roman" w:cs="Times New Roman"/>
              <w:i/>
              <w:iCs/>
              <w:color w:val="000000"/>
              <w:kern w:val="0"/>
              <w:lang w:eastAsia="en-GB"/>
            </w:rPr>
            <w:t>Macroeconomics and Finance in Emerging Market Economies</w:t>
          </w:r>
          <w:r w:rsidRPr="00101B71">
            <w:rPr>
              <w:rFonts w:ascii="Times New Roman" w:eastAsia="Times New Roman" w:hAnsi="Times New Roman" w:cs="Times New Roman"/>
              <w:color w:val="000000"/>
              <w:kern w:val="0"/>
              <w:lang w:eastAsia="en-GB"/>
            </w:rPr>
            <w:t>, </w:t>
          </w:r>
          <w:r w:rsidRPr="00101B71">
            <w:rPr>
              <w:rFonts w:ascii="Times New Roman" w:eastAsia="Times New Roman" w:hAnsi="Times New Roman" w:cs="Times New Roman"/>
              <w:i/>
              <w:iCs/>
              <w:color w:val="000000"/>
              <w:kern w:val="0"/>
              <w:lang w:eastAsia="en-GB"/>
            </w:rPr>
            <w:t>3</w:t>
          </w:r>
          <w:r w:rsidRPr="00101B71">
            <w:rPr>
              <w:rFonts w:ascii="Times New Roman" w:eastAsia="Times New Roman" w:hAnsi="Times New Roman" w:cs="Times New Roman"/>
              <w:color w:val="000000"/>
              <w:kern w:val="0"/>
              <w:lang w:eastAsia="en-GB"/>
            </w:rPr>
            <w:t>(1), 25–31. https://doi.org/10.1080/17520840903498099</w:t>
          </w:r>
        </w:p>
        <w:p w14:paraId="5FC0399C" w14:textId="77777777" w:rsidR="003702A5" w:rsidRPr="00101B71" w:rsidRDefault="003702A5" w:rsidP="003702A5">
          <w:pPr>
            <w:shd w:val="clear" w:color="auto" w:fill="FFFFFF"/>
            <w:spacing w:line="480" w:lineRule="atLeast"/>
            <w:ind w:left="720" w:hanging="720"/>
            <w:rPr>
              <w:rFonts w:ascii="Times New Roman" w:eastAsia="Times New Roman" w:hAnsi="Times New Roman" w:cs="Times New Roman"/>
              <w:color w:val="000000"/>
              <w:kern w:val="0"/>
              <w:lang w:eastAsia="en-GB"/>
            </w:rPr>
          </w:pPr>
          <w:r w:rsidRPr="00101B71">
            <w:rPr>
              <w:rFonts w:ascii="Times New Roman" w:eastAsia="Times New Roman" w:hAnsi="Times New Roman" w:cs="Times New Roman"/>
              <w:color w:val="000000"/>
              <w:kern w:val="0"/>
              <w:lang w:eastAsia="en-GB"/>
            </w:rPr>
            <w:t>Kahneman, D. (2003). Maps of Bounded Rationality: Psychology for Behavioral Economics. </w:t>
          </w:r>
          <w:r w:rsidRPr="00101B71">
            <w:rPr>
              <w:rFonts w:ascii="Times New Roman" w:eastAsia="Times New Roman" w:hAnsi="Times New Roman" w:cs="Times New Roman"/>
              <w:i/>
              <w:iCs/>
              <w:color w:val="000000"/>
              <w:kern w:val="0"/>
              <w:lang w:eastAsia="en-GB"/>
            </w:rPr>
            <w:t>American Economic Review</w:t>
          </w:r>
          <w:r w:rsidRPr="00101B71">
            <w:rPr>
              <w:rFonts w:ascii="Times New Roman" w:eastAsia="Times New Roman" w:hAnsi="Times New Roman" w:cs="Times New Roman"/>
              <w:color w:val="000000"/>
              <w:kern w:val="0"/>
              <w:lang w:eastAsia="en-GB"/>
            </w:rPr>
            <w:t>, </w:t>
          </w:r>
          <w:r w:rsidRPr="00101B71">
            <w:rPr>
              <w:rFonts w:ascii="Times New Roman" w:eastAsia="Times New Roman" w:hAnsi="Times New Roman" w:cs="Times New Roman"/>
              <w:i/>
              <w:iCs/>
              <w:color w:val="000000"/>
              <w:kern w:val="0"/>
              <w:lang w:eastAsia="en-GB"/>
            </w:rPr>
            <w:t>93</w:t>
          </w:r>
          <w:r w:rsidRPr="00101B71">
            <w:rPr>
              <w:rFonts w:ascii="Times New Roman" w:eastAsia="Times New Roman" w:hAnsi="Times New Roman" w:cs="Times New Roman"/>
              <w:color w:val="000000"/>
              <w:kern w:val="0"/>
              <w:lang w:eastAsia="en-GB"/>
            </w:rPr>
            <w:t>(5), 1449–1475. https://doi.org/10.1257/000282803322655392</w:t>
          </w:r>
        </w:p>
        <w:p w14:paraId="6C6EFECB" w14:textId="77777777" w:rsidR="003702A5" w:rsidRPr="00101B71" w:rsidRDefault="003702A5" w:rsidP="003702A5">
          <w:pPr>
            <w:shd w:val="clear" w:color="auto" w:fill="FFFFFF"/>
            <w:spacing w:line="480" w:lineRule="atLeast"/>
            <w:ind w:left="720" w:hanging="720"/>
            <w:rPr>
              <w:rFonts w:ascii="Times New Roman" w:eastAsia="Times New Roman" w:hAnsi="Times New Roman" w:cs="Times New Roman"/>
              <w:color w:val="000000"/>
              <w:kern w:val="0"/>
              <w:lang w:eastAsia="en-GB"/>
            </w:rPr>
          </w:pPr>
          <w:r w:rsidRPr="00101B71">
            <w:rPr>
              <w:rFonts w:ascii="Times New Roman" w:eastAsia="Times New Roman" w:hAnsi="Times New Roman" w:cs="Times New Roman"/>
              <w:color w:val="000000"/>
              <w:kern w:val="0"/>
              <w:lang w:eastAsia="en-GB"/>
            </w:rPr>
            <w:t>Kuttner, K. N. (2000). Monetary Policy Surprises and Interest Rates: Evidence from the Fed Funds Futures Markets. </w:t>
          </w:r>
          <w:r w:rsidRPr="00101B71">
            <w:rPr>
              <w:rFonts w:ascii="Times New Roman" w:eastAsia="Times New Roman" w:hAnsi="Times New Roman" w:cs="Times New Roman"/>
              <w:i/>
              <w:iCs/>
              <w:color w:val="000000"/>
              <w:kern w:val="0"/>
              <w:lang w:eastAsia="en-GB"/>
            </w:rPr>
            <w:t>SSRN Electronic Journal</w:t>
          </w:r>
          <w:r w:rsidRPr="00101B71">
            <w:rPr>
              <w:rFonts w:ascii="Times New Roman" w:eastAsia="Times New Roman" w:hAnsi="Times New Roman" w:cs="Times New Roman"/>
              <w:color w:val="000000"/>
              <w:kern w:val="0"/>
              <w:lang w:eastAsia="en-GB"/>
            </w:rPr>
            <w:t>, </w:t>
          </w:r>
          <w:r w:rsidRPr="00101B71">
            <w:rPr>
              <w:rFonts w:ascii="Times New Roman" w:eastAsia="Times New Roman" w:hAnsi="Times New Roman" w:cs="Times New Roman"/>
              <w:i/>
              <w:iCs/>
              <w:color w:val="000000"/>
              <w:kern w:val="0"/>
              <w:lang w:eastAsia="en-GB"/>
            </w:rPr>
            <w:t>47</w:t>
          </w:r>
          <w:r w:rsidRPr="00101B71">
            <w:rPr>
              <w:rFonts w:ascii="Times New Roman" w:eastAsia="Times New Roman" w:hAnsi="Times New Roman" w:cs="Times New Roman"/>
              <w:color w:val="000000"/>
              <w:kern w:val="0"/>
              <w:lang w:eastAsia="en-GB"/>
            </w:rPr>
            <w:t>. https://doi.org/10.2139/ssrn.933694</w:t>
          </w:r>
        </w:p>
        <w:p w14:paraId="7931ABE0" w14:textId="77777777" w:rsidR="003702A5" w:rsidRPr="00101B71" w:rsidRDefault="003702A5" w:rsidP="003702A5">
          <w:pPr>
            <w:shd w:val="clear" w:color="auto" w:fill="FFFFFF"/>
            <w:spacing w:line="480" w:lineRule="atLeast"/>
            <w:ind w:left="720" w:hanging="720"/>
            <w:rPr>
              <w:rFonts w:ascii="Times New Roman" w:eastAsia="Times New Roman" w:hAnsi="Times New Roman" w:cs="Times New Roman"/>
              <w:color w:val="000000"/>
              <w:kern w:val="0"/>
              <w:lang w:eastAsia="en-GB"/>
            </w:rPr>
          </w:pPr>
          <w:r w:rsidRPr="00101B71">
            <w:rPr>
              <w:rFonts w:ascii="Times New Roman" w:eastAsia="Times New Roman" w:hAnsi="Times New Roman" w:cs="Times New Roman"/>
              <w:color w:val="000000"/>
              <w:kern w:val="0"/>
              <w:lang w:eastAsia="en-GB"/>
            </w:rPr>
            <w:t>Ortmann, R., Pelster, M., &amp; Wengerek, S. T. (2020). COVID-19 and investor behavior. </w:t>
          </w:r>
          <w:r w:rsidRPr="00101B71">
            <w:rPr>
              <w:rFonts w:ascii="Times New Roman" w:eastAsia="Times New Roman" w:hAnsi="Times New Roman" w:cs="Times New Roman"/>
              <w:i/>
              <w:iCs/>
              <w:color w:val="000000"/>
              <w:kern w:val="0"/>
              <w:lang w:eastAsia="en-GB"/>
            </w:rPr>
            <w:t>Finance Research Letters</w:t>
          </w:r>
          <w:r w:rsidRPr="00101B71">
            <w:rPr>
              <w:rFonts w:ascii="Times New Roman" w:eastAsia="Times New Roman" w:hAnsi="Times New Roman" w:cs="Times New Roman"/>
              <w:color w:val="000000"/>
              <w:kern w:val="0"/>
              <w:lang w:eastAsia="en-GB"/>
            </w:rPr>
            <w:t>, </w:t>
          </w:r>
          <w:r w:rsidRPr="00101B71">
            <w:rPr>
              <w:rFonts w:ascii="Times New Roman" w:eastAsia="Times New Roman" w:hAnsi="Times New Roman" w:cs="Times New Roman"/>
              <w:i/>
              <w:iCs/>
              <w:color w:val="000000"/>
              <w:kern w:val="0"/>
              <w:lang w:eastAsia="en-GB"/>
            </w:rPr>
            <w:t>37</w:t>
          </w:r>
          <w:r w:rsidRPr="00101B71">
            <w:rPr>
              <w:rFonts w:ascii="Times New Roman" w:eastAsia="Times New Roman" w:hAnsi="Times New Roman" w:cs="Times New Roman"/>
              <w:color w:val="000000"/>
              <w:kern w:val="0"/>
              <w:lang w:eastAsia="en-GB"/>
            </w:rPr>
            <w:t>, 101717. https://doi.org/10.1016/j.frl.2020.101717</w:t>
          </w:r>
        </w:p>
        <w:p w14:paraId="7ADF77DD" w14:textId="26F3C32C" w:rsidR="008C1C75" w:rsidRPr="00101B71" w:rsidRDefault="003702A5" w:rsidP="003702A5">
          <w:pPr>
            <w:shd w:val="clear" w:color="auto" w:fill="FFFFFF"/>
            <w:spacing w:line="480" w:lineRule="atLeast"/>
            <w:ind w:left="720" w:hanging="720"/>
            <w:rPr>
              <w:rFonts w:ascii="Times New Roman" w:eastAsia="Times New Roman" w:hAnsi="Times New Roman" w:cs="Times New Roman"/>
              <w:color w:val="000000"/>
              <w:kern w:val="0"/>
              <w:lang w:eastAsia="en-GB"/>
            </w:rPr>
          </w:pPr>
          <w:r w:rsidRPr="00101B71">
            <w:rPr>
              <w:rFonts w:ascii="Times New Roman" w:eastAsia="Times New Roman" w:hAnsi="Times New Roman" w:cs="Times New Roman"/>
              <w:color w:val="000000"/>
              <w:kern w:val="0"/>
              <w:lang w:eastAsia="en-GB"/>
            </w:rPr>
            <w:t>Rosa, C. (2011). Words that shake traders. </w:t>
          </w:r>
          <w:r w:rsidRPr="00101B71">
            <w:rPr>
              <w:rFonts w:ascii="Times New Roman" w:eastAsia="Times New Roman" w:hAnsi="Times New Roman" w:cs="Times New Roman"/>
              <w:i/>
              <w:iCs/>
              <w:color w:val="000000"/>
              <w:kern w:val="0"/>
              <w:lang w:eastAsia="en-GB"/>
            </w:rPr>
            <w:t>Journal of Empirical Finance</w:t>
          </w:r>
          <w:r w:rsidRPr="00101B71">
            <w:rPr>
              <w:rFonts w:ascii="Times New Roman" w:eastAsia="Times New Roman" w:hAnsi="Times New Roman" w:cs="Times New Roman"/>
              <w:color w:val="000000"/>
              <w:kern w:val="0"/>
              <w:lang w:eastAsia="en-GB"/>
            </w:rPr>
            <w:t>, </w:t>
          </w:r>
          <w:r w:rsidRPr="00101B71">
            <w:rPr>
              <w:rFonts w:ascii="Times New Roman" w:eastAsia="Times New Roman" w:hAnsi="Times New Roman" w:cs="Times New Roman"/>
              <w:i/>
              <w:iCs/>
              <w:color w:val="000000"/>
              <w:kern w:val="0"/>
              <w:lang w:eastAsia="en-GB"/>
            </w:rPr>
            <w:t>18</w:t>
          </w:r>
          <w:r w:rsidRPr="00101B71">
            <w:rPr>
              <w:rFonts w:ascii="Times New Roman" w:eastAsia="Times New Roman" w:hAnsi="Times New Roman" w:cs="Times New Roman"/>
              <w:color w:val="000000"/>
              <w:kern w:val="0"/>
              <w:lang w:eastAsia="en-GB"/>
            </w:rPr>
            <w:t>(5), 915–934. https://doi.org/10.1016/j.jempfin.2011.07.005</w:t>
          </w:r>
        </w:p>
      </w:sdtContent>
    </w:sdt>
    <w:p w14:paraId="2EF156DE" w14:textId="7B9E3E5D" w:rsidR="0040006D" w:rsidRPr="00101B71" w:rsidRDefault="00760A2C" w:rsidP="0040006D">
      <w:pPr>
        <w:pStyle w:val="SectionTitle"/>
        <w:rPr>
          <w:lang w:bidi="en-GB"/>
        </w:rPr>
      </w:pPr>
      <w:bookmarkStart w:id="16" w:name="_Toc132643774"/>
      <w:r w:rsidRPr="00101B71">
        <w:rPr>
          <w:lang w:bidi="en-GB"/>
        </w:rPr>
        <w:t>Appendix</w:t>
      </w:r>
      <w:bookmarkEnd w:id="16"/>
    </w:p>
    <w:p w14:paraId="0ADDDF82" w14:textId="20B0CA4B" w:rsidR="0040006D" w:rsidRPr="00101B71" w:rsidRDefault="0040006D" w:rsidP="0040006D">
      <w:pPr>
        <w:pStyle w:val="Heading1"/>
        <w:rPr>
          <w:lang w:bidi="en-GB"/>
        </w:rPr>
      </w:pPr>
      <w:bookmarkStart w:id="17" w:name="_Toc132643775"/>
      <w:r w:rsidRPr="00101B71">
        <w:rPr>
          <w:lang w:bidi="en-GB"/>
        </w:rPr>
        <w:t>Tables</w:t>
      </w:r>
      <w:bookmarkEnd w:id="17"/>
    </w:p>
    <w:p w14:paraId="4CD50863" w14:textId="1C453911" w:rsidR="0040006D" w:rsidRPr="00101B71" w:rsidRDefault="00DA2A34" w:rsidP="0040006D">
      <w:pPr>
        <w:ind w:firstLine="0"/>
        <w:rPr>
          <w:lang w:bidi="en-GB"/>
        </w:rPr>
      </w:pPr>
      <w:r w:rsidRPr="00101B71">
        <w:rPr>
          <w:noProof/>
        </w:rPr>
        <mc:AlternateContent>
          <mc:Choice Requires="wps">
            <w:drawing>
              <wp:anchor distT="0" distB="0" distL="114300" distR="114300" simplePos="0" relativeHeight="251658247" behindDoc="0" locked="0" layoutInCell="1" allowOverlap="1" wp14:anchorId="658F5ED7" wp14:editId="2F4FE43E">
                <wp:simplePos x="0" y="0"/>
                <wp:positionH relativeFrom="column">
                  <wp:posOffset>152400</wp:posOffset>
                </wp:positionH>
                <wp:positionV relativeFrom="paragraph">
                  <wp:posOffset>6461760</wp:posOffset>
                </wp:positionV>
                <wp:extent cx="573151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C8E8123" w14:textId="6F5C8596" w:rsidR="00DA2A34" w:rsidRPr="00DA2A34" w:rsidRDefault="00DA2A34" w:rsidP="00DA2A34">
                            <w:pPr>
                              <w:pStyle w:val="Caption"/>
                              <w:rPr>
                                <w:sz w:val="21"/>
                                <w:szCs w:val="21"/>
                                <w:lang w:val="en-GB" w:bidi="en-GB"/>
                              </w:rPr>
                            </w:pPr>
                            <w:r w:rsidRPr="00DA2A34">
                              <w:rPr>
                                <w:sz w:val="21"/>
                                <w:szCs w:val="21"/>
                              </w:rPr>
                              <w:t>Table 2 Autocorrelation-adjusted Linear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8F5ED7" id="_x0000_t202" coordsize="21600,21600" o:spt="202" path="m,l,21600r21600,l21600,xe">
                <v:stroke joinstyle="miter"/>
                <v:path gradientshapeok="t" o:connecttype="rect"/>
              </v:shapetype>
              <v:shape id="Text Box 10" o:spid="_x0000_s1026" type="#_x0000_t202" style="position:absolute;margin-left:12pt;margin-top:508.8pt;width:451.3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" stroked="f">
                <v:textbox style="mso-fit-shape-to-text:t" inset="0,0,0,0">
                  <w:txbxContent>
                    <w:p w14:paraId="7C8E8123" w14:textId="6F5C8596" w:rsidR="00DA2A34" w:rsidRPr="00DA2A34" w:rsidRDefault="00DA2A34" w:rsidP="00DA2A34">
                      <w:pPr>
                        <w:pStyle w:val="Caption"/>
                        <w:rPr>
                          <w:sz w:val="21"/>
                          <w:szCs w:val="21"/>
                          <w:lang w:val="en-GB" w:bidi="en-GB"/>
                        </w:rPr>
                      </w:pPr>
                      <w:r w:rsidRPr="00DA2A34">
                        <w:rPr>
                          <w:sz w:val="21"/>
                          <w:szCs w:val="21"/>
                        </w:rPr>
                        <w:t>Table 2 Autocorrelation-adjusted Linear Models</w:t>
                      </w:r>
                    </w:p>
                  </w:txbxContent>
                </v:textbox>
                <w10:wrap type="square"/>
              </v:shape>
            </w:pict>
          </mc:Fallback>
        </mc:AlternateContent>
      </w:r>
      <w:r w:rsidR="0005180E" w:rsidRPr="00101B71">
        <w:rPr>
          <w:noProof/>
          <w:lang w:bidi="en-GB"/>
        </w:rPr>
        <w:drawing>
          <wp:anchor distT="0" distB="0" distL="114300" distR="114300" simplePos="0" relativeHeight="251658246" behindDoc="0" locked="0" layoutInCell="1" allowOverlap="1" wp14:anchorId="235FDFF9" wp14:editId="05624457">
            <wp:simplePos x="0" y="0"/>
            <wp:positionH relativeFrom="column">
              <wp:posOffset>152400</wp:posOffset>
            </wp:positionH>
            <wp:positionV relativeFrom="paragraph">
              <wp:posOffset>3459480</wp:posOffset>
            </wp:positionV>
            <wp:extent cx="5731510" cy="294703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947035"/>
                    </a:xfrm>
                    <a:prstGeom prst="rect">
                      <a:avLst/>
                    </a:prstGeom>
                  </pic:spPr>
                </pic:pic>
              </a:graphicData>
            </a:graphic>
            <wp14:sizeRelH relativeFrom="page">
              <wp14:pctWidth>0</wp14:pctWidth>
            </wp14:sizeRelH>
            <wp14:sizeRelV relativeFrom="page">
              <wp14:pctHeight>0</wp14:pctHeight>
            </wp14:sizeRelV>
          </wp:anchor>
        </w:drawing>
      </w:r>
      <w:r w:rsidR="0040006D" w:rsidRPr="00101B71">
        <w:rPr>
          <w:noProof/>
          <w:lang w:bidi="en-GB"/>
        </w:rPr>
        <w:drawing>
          <wp:anchor distT="0" distB="0" distL="114300" distR="114300" simplePos="0" relativeHeight="251658240" behindDoc="0" locked="0" layoutInCell="1" allowOverlap="1" wp14:anchorId="0875DFD1" wp14:editId="6B45247D">
            <wp:simplePos x="0" y="0"/>
            <wp:positionH relativeFrom="column">
              <wp:posOffset>149860</wp:posOffset>
            </wp:positionH>
            <wp:positionV relativeFrom="paragraph">
              <wp:posOffset>243505</wp:posOffset>
            </wp:positionV>
            <wp:extent cx="5731510" cy="28657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14:sizeRelH relativeFrom="page">
              <wp14:pctWidth>0</wp14:pctWidth>
            </wp14:sizeRelH>
            <wp14:sizeRelV relativeFrom="page">
              <wp14:pctHeight>0</wp14:pctHeight>
            </wp14:sizeRelV>
          </wp:anchor>
        </w:drawing>
      </w:r>
      <w:r w:rsidR="0040006D" w:rsidRPr="00101B71">
        <w:rPr>
          <w:noProof/>
        </w:rPr>
        <mc:AlternateContent>
          <mc:Choice Requires="wps">
            <w:drawing>
              <wp:anchor distT="0" distB="0" distL="114300" distR="114300" simplePos="0" relativeHeight="251658241" behindDoc="0" locked="0" layoutInCell="1" allowOverlap="1" wp14:anchorId="680DEFC4" wp14:editId="3629BCFD">
                <wp:simplePos x="0" y="0"/>
                <wp:positionH relativeFrom="column">
                  <wp:posOffset>149860</wp:posOffset>
                </wp:positionH>
                <wp:positionV relativeFrom="paragraph">
                  <wp:posOffset>3114304</wp:posOffset>
                </wp:positionV>
                <wp:extent cx="5731510" cy="635"/>
                <wp:effectExtent l="0" t="0" r="0" b="12065"/>
                <wp:wrapSquare wrapText="bothSides"/>
                <wp:docPr id="4" name="Text Box 4"/>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91AE707" w14:textId="32920DB5" w:rsidR="009B2724" w:rsidRPr="009B2724" w:rsidRDefault="009B2724" w:rsidP="009B2724">
                            <w:pPr>
                              <w:pStyle w:val="Caption"/>
                              <w:rPr>
                                <w:rFonts w:asciiTheme="majorHAnsi" w:eastAsiaTheme="majorEastAsia" w:hAnsiTheme="majorHAnsi" w:cstheme="majorBidi"/>
                                <w:sz w:val="22"/>
                                <w:szCs w:val="22"/>
                                <w:lang w:val="en-GB" w:bidi="en-GB"/>
                              </w:rPr>
                            </w:pPr>
                            <w:r w:rsidRPr="009B2724">
                              <w:rPr>
                                <w:sz w:val="22"/>
                                <w:szCs w:val="22"/>
                              </w:rPr>
                              <w:t xml:space="preserve">Table </w:t>
                            </w:r>
                            <w:r w:rsidR="00DA2A34">
                              <w:rPr>
                                <w:sz w:val="22"/>
                                <w:szCs w:val="22"/>
                              </w:rPr>
                              <w:t>1</w:t>
                            </w:r>
                            <w:r w:rsidRPr="009B2724">
                              <w:rPr>
                                <w:sz w:val="22"/>
                                <w:szCs w:val="22"/>
                              </w:rPr>
                              <w:t xml:space="preserve"> First Linear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0DEFC4" id="Text Box 4" o:spid="_x0000_s1027" type="#_x0000_t202" style="position:absolute;margin-left:11.8pt;margin-top:245.2pt;width:451.3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" stroked="f">
                <v:textbox style="mso-fit-shape-to-text:t" inset="0,0,0,0">
                  <w:txbxContent>
                    <w:p w14:paraId="191AE707" w14:textId="32920DB5" w:rsidR="009B2724" w:rsidRPr="009B2724" w:rsidRDefault="009B2724" w:rsidP="009B2724">
                      <w:pPr>
                        <w:pStyle w:val="Caption"/>
                        <w:rPr>
                          <w:rFonts w:asciiTheme="majorHAnsi" w:eastAsiaTheme="majorEastAsia" w:hAnsiTheme="majorHAnsi" w:cstheme="majorBidi"/>
                          <w:sz w:val="22"/>
                          <w:szCs w:val="22"/>
                          <w:lang w:val="en-GB" w:bidi="en-GB"/>
                        </w:rPr>
                      </w:pPr>
                      <w:r w:rsidRPr="009B2724">
                        <w:rPr>
                          <w:sz w:val="22"/>
                          <w:szCs w:val="22"/>
                        </w:rPr>
                        <w:t xml:space="preserve">Table </w:t>
                      </w:r>
                      <w:r w:rsidR="00DA2A34">
                        <w:rPr>
                          <w:sz w:val="22"/>
                          <w:szCs w:val="22"/>
                        </w:rPr>
                        <w:t>1</w:t>
                      </w:r>
                      <w:r w:rsidRPr="009B2724">
                        <w:rPr>
                          <w:sz w:val="22"/>
                          <w:szCs w:val="22"/>
                        </w:rPr>
                        <w:t xml:space="preserve"> First Linear Models</w:t>
                      </w:r>
                    </w:p>
                  </w:txbxContent>
                </v:textbox>
                <w10:wrap type="square"/>
              </v:shape>
            </w:pict>
          </mc:Fallback>
        </mc:AlternateContent>
      </w:r>
      <w:r w:rsidR="0040006D" w:rsidRPr="00101B71">
        <w:rPr>
          <w:lang w:bidi="en-GB"/>
        </w:rPr>
        <w:br w:type="page"/>
      </w:r>
    </w:p>
    <w:p w14:paraId="480F6192" w14:textId="28FD3E80" w:rsidR="00A955A5" w:rsidRPr="00101B71" w:rsidRDefault="00D92443">
      <w:pPr>
        <w:rPr>
          <w:rFonts w:asciiTheme="majorHAnsi" w:eastAsiaTheme="majorEastAsia" w:hAnsiTheme="majorHAnsi" w:cstheme="majorBidi"/>
          <w:b/>
          <w:bCs/>
          <w:lang w:bidi="en-GB"/>
        </w:rPr>
      </w:pPr>
      <w:r w:rsidRPr="00101B71">
        <w:rPr>
          <w:noProof/>
          <w:lang w:bidi="en-GB"/>
        </w:rPr>
        <w:drawing>
          <wp:anchor distT="0" distB="0" distL="114300" distR="114300" simplePos="0" relativeHeight="251658256" behindDoc="0" locked="0" layoutInCell="1" allowOverlap="1" wp14:anchorId="5C4F90EF" wp14:editId="41C04402">
            <wp:simplePos x="0" y="0"/>
            <wp:positionH relativeFrom="column">
              <wp:posOffset>109855</wp:posOffset>
            </wp:positionH>
            <wp:positionV relativeFrom="paragraph">
              <wp:posOffset>7007398</wp:posOffset>
            </wp:positionV>
            <wp:extent cx="3217545" cy="167259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17545" cy="1672590"/>
                    </a:xfrm>
                    <a:prstGeom prst="rect">
                      <a:avLst/>
                    </a:prstGeom>
                  </pic:spPr>
                </pic:pic>
              </a:graphicData>
            </a:graphic>
            <wp14:sizeRelH relativeFrom="page">
              <wp14:pctWidth>0</wp14:pctWidth>
            </wp14:sizeRelH>
            <wp14:sizeRelV relativeFrom="page">
              <wp14:pctHeight>0</wp14:pctHeight>
            </wp14:sizeRelV>
          </wp:anchor>
        </w:drawing>
      </w:r>
      <w:r w:rsidRPr="00101B71">
        <w:rPr>
          <w:noProof/>
        </w:rPr>
        <mc:AlternateContent>
          <mc:Choice Requires="wps">
            <w:drawing>
              <wp:anchor distT="0" distB="0" distL="114300" distR="114300" simplePos="0" relativeHeight="251658257" behindDoc="0" locked="0" layoutInCell="1" allowOverlap="1" wp14:anchorId="62A2B229" wp14:editId="0786E842">
                <wp:simplePos x="0" y="0"/>
                <wp:positionH relativeFrom="column">
                  <wp:posOffset>152400</wp:posOffset>
                </wp:positionH>
                <wp:positionV relativeFrom="paragraph">
                  <wp:posOffset>8680797</wp:posOffset>
                </wp:positionV>
                <wp:extent cx="2743200" cy="17970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743200" cy="179705"/>
                        </a:xfrm>
                        <a:prstGeom prst="rect">
                          <a:avLst/>
                        </a:prstGeom>
                        <a:solidFill>
                          <a:prstClr val="white"/>
                        </a:solidFill>
                        <a:ln>
                          <a:noFill/>
                        </a:ln>
                      </wps:spPr>
                      <wps:txbx>
                        <w:txbxContent>
                          <w:p w14:paraId="3ED4C1CF" w14:textId="1A41428E" w:rsidR="00D92443" w:rsidRPr="008F2CE2" w:rsidRDefault="00D92443" w:rsidP="00D92443">
                            <w:pPr>
                              <w:pStyle w:val="Caption"/>
                              <w:rPr>
                                <w:lang w:val="en-GB" w:bidi="en-GB"/>
                              </w:rPr>
                            </w:pPr>
                            <w:r>
                              <w:t>Table 5 Full Sample Summary Statistics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2B229" id="Text Box 19" o:spid="_x0000_s1028" type="#_x0000_t202" style="position:absolute;left:0;text-align:left;margin-left:12pt;margin-top:683.55pt;width:3in;height:14.1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" stroked="f">
                <v:textbox inset="0,0,0,0">
                  <w:txbxContent>
                    <w:p w14:paraId="3ED4C1CF" w14:textId="1A41428E" w:rsidR="00D92443" w:rsidRPr="008F2CE2" w:rsidRDefault="00D92443" w:rsidP="00D92443">
                      <w:pPr>
                        <w:pStyle w:val="Caption"/>
                        <w:rPr>
                          <w:lang w:val="en-GB" w:bidi="en-GB"/>
                        </w:rPr>
                      </w:pPr>
                      <w:r>
                        <w:t>Table 5 Full Sample Summary Statistics</w:t>
                      </w:r>
                    </w:p>
                  </w:txbxContent>
                </v:textbox>
                <w10:wrap type="square"/>
              </v:shape>
            </w:pict>
          </mc:Fallback>
        </mc:AlternateContent>
      </w:r>
      <w:r w:rsidR="00AE1AFF" w:rsidRPr="00101B71">
        <w:rPr>
          <w:noProof/>
        </w:rPr>
        <mc:AlternateContent>
          <mc:Choice Requires="wps">
            <w:drawing>
              <wp:anchor distT="0" distB="0" distL="114300" distR="114300" simplePos="0" relativeHeight="251658251" behindDoc="0" locked="0" layoutInCell="1" allowOverlap="1" wp14:anchorId="239D92F4" wp14:editId="6FA2A70B">
                <wp:simplePos x="0" y="0"/>
                <wp:positionH relativeFrom="column">
                  <wp:posOffset>152400</wp:posOffset>
                </wp:positionH>
                <wp:positionV relativeFrom="paragraph">
                  <wp:posOffset>6787515</wp:posOffset>
                </wp:positionV>
                <wp:extent cx="3000375" cy="635"/>
                <wp:effectExtent l="0" t="0" r="0" b="12065"/>
                <wp:wrapSquare wrapText="bothSides"/>
                <wp:docPr id="13" name="Text Box 13"/>
                <wp:cNvGraphicFramePr/>
                <a:graphic xmlns:a="http://schemas.openxmlformats.org/drawingml/2006/main">
                  <a:graphicData uri="http://schemas.microsoft.com/office/word/2010/wordprocessingShape">
                    <wps:wsp>
                      <wps:cNvSpPr txBox="1"/>
                      <wps:spPr>
                        <a:xfrm>
                          <a:off x="0" y="0"/>
                          <a:ext cx="3000375" cy="635"/>
                        </a:xfrm>
                        <a:prstGeom prst="rect">
                          <a:avLst/>
                        </a:prstGeom>
                        <a:solidFill>
                          <a:prstClr val="white"/>
                        </a:solidFill>
                        <a:ln>
                          <a:noFill/>
                        </a:ln>
                      </wps:spPr>
                      <wps:txbx>
                        <w:txbxContent>
                          <w:p w14:paraId="46BB05EB" w14:textId="23886A3F" w:rsidR="00AE1AFF" w:rsidRPr="00543BE3" w:rsidRDefault="00AE1AFF" w:rsidP="00AE1AFF">
                            <w:pPr>
                              <w:pStyle w:val="Caption"/>
                              <w:rPr>
                                <w:lang w:val="en-GB" w:bidi="en-GB"/>
                              </w:rPr>
                            </w:pPr>
                            <w:r>
                              <w:t>Table 4 GARCH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9D92F4" id="Text Box 13" o:spid="_x0000_s1029" type="#_x0000_t202" style="position:absolute;left:0;text-align:left;margin-left:12pt;margin-top:534.45pt;width:236.25pt;height:.05pt;z-index:2516582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" stroked="f">
                <v:textbox style="mso-fit-shape-to-text:t" inset="0,0,0,0">
                  <w:txbxContent>
                    <w:p w14:paraId="46BB05EB" w14:textId="23886A3F" w:rsidR="00AE1AFF" w:rsidRPr="00543BE3" w:rsidRDefault="00AE1AFF" w:rsidP="00AE1AFF">
                      <w:pPr>
                        <w:pStyle w:val="Caption"/>
                        <w:rPr>
                          <w:lang w:val="en-GB" w:bidi="en-GB"/>
                        </w:rPr>
                      </w:pPr>
                      <w:r>
                        <w:t>Table 4 GARCH Model</w:t>
                      </w:r>
                    </w:p>
                  </w:txbxContent>
                </v:textbox>
                <w10:wrap type="square"/>
              </v:shape>
            </w:pict>
          </mc:Fallback>
        </mc:AlternateContent>
      </w:r>
      <w:r w:rsidR="00AE1AFF" w:rsidRPr="00101B71">
        <w:rPr>
          <w:noProof/>
          <w:lang w:bidi="en-GB"/>
        </w:rPr>
        <w:drawing>
          <wp:anchor distT="0" distB="0" distL="114300" distR="114300" simplePos="0" relativeHeight="251658250" behindDoc="0" locked="0" layoutInCell="1" allowOverlap="1" wp14:anchorId="148DD0C4" wp14:editId="7B1F87E6">
            <wp:simplePos x="0" y="0"/>
            <wp:positionH relativeFrom="column">
              <wp:posOffset>152400</wp:posOffset>
            </wp:positionH>
            <wp:positionV relativeFrom="paragraph">
              <wp:posOffset>3564044</wp:posOffset>
            </wp:positionV>
            <wp:extent cx="3000375" cy="316674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00375" cy="3166745"/>
                    </a:xfrm>
                    <a:prstGeom prst="rect">
                      <a:avLst/>
                    </a:prstGeom>
                  </pic:spPr>
                </pic:pic>
              </a:graphicData>
            </a:graphic>
            <wp14:sizeRelH relativeFrom="page">
              <wp14:pctWidth>0</wp14:pctWidth>
            </wp14:sizeRelH>
            <wp14:sizeRelV relativeFrom="page">
              <wp14:pctHeight>0</wp14:pctHeight>
            </wp14:sizeRelV>
          </wp:anchor>
        </w:drawing>
      </w:r>
      <w:r w:rsidR="00A955A5" w:rsidRPr="00101B71">
        <w:rPr>
          <w:noProof/>
        </w:rPr>
        <mc:AlternateContent>
          <mc:Choice Requires="wps">
            <w:drawing>
              <wp:anchor distT="0" distB="0" distL="114300" distR="114300" simplePos="0" relativeHeight="251658249" behindDoc="0" locked="0" layoutInCell="1" allowOverlap="1" wp14:anchorId="5AFFCB2A" wp14:editId="72C961D0">
                <wp:simplePos x="0" y="0"/>
                <wp:positionH relativeFrom="column">
                  <wp:posOffset>152400</wp:posOffset>
                </wp:positionH>
                <wp:positionV relativeFrom="paragraph">
                  <wp:posOffset>3225800</wp:posOffset>
                </wp:positionV>
                <wp:extent cx="2743200" cy="27051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743200" cy="270510"/>
                        </a:xfrm>
                        <a:prstGeom prst="rect">
                          <a:avLst/>
                        </a:prstGeom>
                        <a:solidFill>
                          <a:prstClr val="white"/>
                        </a:solidFill>
                        <a:ln>
                          <a:noFill/>
                        </a:ln>
                      </wps:spPr>
                      <wps:txbx>
                        <w:txbxContent>
                          <w:p w14:paraId="2D065FDC" w14:textId="3554AD50" w:rsidR="00A955A5" w:rsidRPr="00E60A44" w:rsidRDefault="00A955A5" w:rsidP="00A955A5">
                            <w:pPr>
                              <w:pStyle w:val="Caption"/>
                              <w:rPr>
                                <w:lang w:val="en-GB" w:bidi="en-GB"/>
                              </w:rPr>
                            </w:pPr>
                            <w:r>
                              <w:t>Table 3 Interaction between COVID and Statement's Tone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FCB2A" id="Text Box 12" o:spid="_x0000_s1030" type="#_x0000_t202" style="position:absolute;left:0;text-align:left;margin-left:12pt;margin-top:254pt;width:3in;height:21.3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" stroked="f">
                <v:textbox inset="0,0,0,0">
                  <w:txbxContent>
                    <w:p w14:paraId="2D065FDC" w14:textId="3554AD50" w:rsidR="00A955A5" w:rsidRPr="00E60A44" w:rsidRDefault="00A955A5" w:rsidP="00A955A5">
                      <w:pPr>
                        <w:pStyle w:val="Caption"/>
                        <w:rPr>
                          <w:lang w:val="en-GB" w:bidi="en-GB"/>
                        </w:rPr>
                      </w:pPr>
                      <w:r>
                        <w:t>Table 3 Interaction between COVID and Statement's Tone</w:t>
                      </w:r>
                    </w:p>
                  </w:txbxContent>
                </v:textbox>
                <w10:wrap type="square"/>
              </v:shape>
            </w:pict>
          </mc:Fallback>
        </mc:AlternateContent>
      </w:r>
      <w:r w:rsidR="00A955A5" w:rsidRPr="00101B71">
        <w:rPr>
          <w:noProof/>
          <w:lang w:bidi="en-GB"/>
        </w:rPr>
        <w:drawing>
          <wp:anchor distT="0" distB="0" distL="114300" distR="114300" simplePos="0" relativeHeight="251658248" behindDoc="0" locked="0" layoutInCell="1" allowOverlap="1" wp14:anchorId="52F056DD" wp14:editId="6639EA0E">
            <wp:simplePos x="0" y="0"/>
            <wp:positionH relativeFrom="column">
              <wp:posOffset>151765</wp:posOffset>
            </wp:positionH>
            <wp:positionV relativeFrom="paragraph">
              <wp:posOffset>0</wp:posOffset>
            </wp:positionV>
            <wp:extent cx="2353310" cy="316674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53310" cy="3166745"/>
                    </a:xfrm>
                    <a:prstGeom prst="rect">
                      <a:avLst/>
                    </a:prstGeom>
                  </pic:spPr>
                </pic:pic>
              </a:graphicData>
            </a:graphic>
            <wp14:sizeRelH relativeFrom="page">
              <wp14:pctWidth>0</wp14:pctWidth>
            </wp14:sizeRelH>
            <wp14:sizeRelV relativeFrom="page">
              <wp14:pctHeight>0</wp14:pctHeight>
            </wp14:sizeRelV>
          </wp:anchor>
        </w:drawing>
      </w:r>
      <w:r w:rsidR="00A955A5" w:rsidRPr="00101B71">
        <w:rPr>
          <w:lang w:bidi="en-GB"/>
        </w:rPr>
        <w:br w:type="page"/>
      </w:r>
    </w:p>
    <w:p w14:paraId="3E2672C2" w14:textId="341D5509" w:rsidR="000344CD" w:rsidRPr="00101B71" w:rsidRDefault="00F44D41" w:rsidP="0040006D">
      <w:pPr>
        <w:pStyle w:val="Heading1"/>
        <w:rPr>
          <w:lang w:bidi="en-GB"/>
        </w:rPr>
      </w:pPr>
      <w:bookmarkStart w:id="18" w:name="_Toc132643776"/>
      <w:r w:rsidRPr="00101B71">
        <w:rPr>
          <w:noProof/>
        </w:rPr>
        <mc:AlternateContent>
          <mc:Choice Requires="wps">
            <w:drawing>
              <wp:anchor distT="0" distB="0" distL="114300" distR="114300" simplePos="0" relativeHeight="251658253" behindDoc="0" locked="0" layoutInCell="1" allowOverlap="1" wp14:anchorId="4A816736" wp14:editId="65A12F4B">
                <wp:simplePos x="0" y="0"/>
                <wp:positionH relativeFrom="column">
                  <wp:posOffset>3101340</wp:posOffset>
                </wp:positionH>
                <wp:positionV relativeFrom="paragraph">
                  <wp:posOffset>8226425</wp:posOffset>
                </wp:positionV>
                <wp:extent cx="3110230" cy="635"/>
                <wp:effectExtent l="0" t="0" r="1270" b="12065"/>
                <wp:wrapSquare wrapText="bothSides"/>
                <wp:docPr id="15" name="Text Box 15"/>
                <wp:cNvGraphicFramePr/>
                <a:graphic xmlns:a="http://schemas.openxmlformats.org/drawingml/2006/main">
                  <a:graphicData uri="http://schemas.microsoft.com/office/word/2010/wordprocessingShape">
                    <wps:wsp>
                      <wps:cNvSpPr txBox="1"/>
                      <wps:spPr>
                        <a:xfrm>
                          <a:off x="0" y="0"/>
                          <a:ext cx="3110230" cy="635"/>
                        </a:xfrm>
                        <a:prstGeom prst="rect">
                          <a:avLst/>
                        </a:prstGeom>
                        <a:solidFill>
                          <a:prstClr val="white"/>
                        </a:solidFill>
                        <a:ln>
                          <a:noFill/>
                        </a:ln>
                      </wps:spPr>
                      <wps:txbx>
                        <w:txbxContent>
                          <w:p w14:paraId="77AB092A" w14:textId="18248069" w:rsidR="00F44D41" w:rsidRPr="0054452E" w:rsidRDefault="00F44D41" w:rsidP="00F44D41">
                            <w:pPr>
                              <w:pStyle w:val="Caption"/>
                              <w:rPr>
                                <w:b/>
                                <w:bCs/>
                                <w:color w:val="auto"/>
                                <w:sz w:val="24"/>
                                <w:szCs w:val="24"/>
                                <w:lang w:bidi="en-GB"/>
                              </w:rPr>
                            </w:pPr>
                            <w:r>
                              <w:t>Figure 3 Correlation of Squared Residuals</w:t>
                            </w:r>
                            <w:r>
                              <w:rPr>
                                <w:noProof/>
                              </w:rPr>
                              <w:t xml:space="preserve"> from Linear Interaction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816736" id="Text Box 15" o:spid="_x0000_s1031" type="#_x0000_t202" style="position:absolute;left:0;text-align:left;margin-left:244.2pt;margin-top:647.75pt;width:244.9pt;height:.05pt;z-index:25165825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" stroked="f">
                <v:textbox style="mso-fit-shape-to-text:t" inset="0,0,0,0">
                  <w:txbxContent>
                    <w:p w14:paraId="77AB092A" w14:textId="18248069" w:rsidR="00F44D41" w:rsidRPr="0054452E" w:rsidRDefault="00F44D41" w:rsidP="00F44D41">
                      <w:pPr>
                        <w:pStyle w:val="Caption"/>
                        <w:rPr>
                          <w:b/>
                          <w:bCs/>
                          <w:color w:val="auto"/>
                          <w:sz w:val="24"/>
                          <w:szCs w:val="24"/>
                          <w:lang w:bidi="en-GB"/>
                        </w:rPr>
                      </w:pPr>
                      <w:r>
                        <w:t>Figure 3 Correlation of Squared Residuals</w:t>
                      </w:r>
                      <w:r>
                        <w:rPr>
                          <w:noProof/>
                        </w:rPr>
                        <w:t xml:space="preserve"> from Linear Interaction Model</w:t>
                      </w:r>
                    </w:p>
                  </w:txbxContent>
                </v:textbox>
                <w10:wrap type="square"/>
              </v:shape>
            </w:pict>
          </mc:Fallback>
        </mc:AlternateContent>
      </w:r>
      <w:r w:rsidRPr="00101B71">
        <w:rPr>
          <w:noProof/>
          <w:lang w:bidi="en-GB"/>
        </w:rPr>
        <w:drawing>
          <wp:anchor distT="0" distB="0" distL="114300" distR="114300" simplePos="0" relativeHeight="251658252" behindDoc="0" locked="0" layoutInCell="1" allowOverlap="1" wp14:anchorId="01420948" wp14:editId="35C0604C">
            <wp:simplePos x="0" y="0"/>
            <wp:positionH relativeFrom="column">
              <wp:posOffset>3101340</wp:posOffset>
            </wp:positionH>
            <wp:positionV relativeFrom="paragraph">
              <wp:posOffset>4114165</wp:posOffset>
            </wp:positionV>
            <wp:extent cx="3110230" cy="4055110"/>
            <wp:effectExtent l="0" t="0" r="1270" b="0"/>
            <wp:wrapSquare wrapText="bothSides"/>
            <wp:docPr id="14" name="Picture 14" descr="Table&#10;&#10;Description automatically generated with medium confidence">
              <a:extLst xmlns:a="http://schemas.openxmlformats.org/drawingml/2006/main">
                <a:ext uri="{FF2B5EF4-FFF2-40B4-BE49-F238E27FC236}">
                  <a16:creationId xmlns:a16="http://schemas.microsoft.com/office/drawing/2014/main" id="{4B3CB488-66EE-293C-F7C8-55175A455A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Table&#10;&#10;Description automatically generated with medium confidence">
                      <a:extLst>
                        <a:ext uri="{FF2B5EF4-FFF2-40B4-BE49-F238E27FC236}">
                          <a16:creationId xmlns:a16="http://schemas.microsoft.com/office/drawing/2014/main" id="{4B3CB488-66EE-293C-F7C8-55175A455A51}"/>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110230" cy="4055110"/>
                    </a:xfrm>
                    <a:prstGeom prst="rect">
                      <a:avLst/>
                    </a:prstGeom>
                    <a:noFill/>
                  </pic:spPr>
                </pic:pic>
              </a:graphicData>
            </a:graphic>
            <wp14:sizeRelH relativeFrom="page">
              <wp14:pctWidth>0</wp14:pctWidth>
            </wp14:sizeRelH>
            <wp14:sizeRelV relativeFrom="page">
              <wp14:pctHeight>0</wp14:pctHeight>
            </wp14:sizeRelV>
          </wp:anchor>
        </w:drawing>
      </w:r>
      <w:r w:rsidR="00886288" w:rsidRPr="00101B71">
        <w:rPr>
          <w:noProof/>
        </w:rPr>
        <mc:AlternateContent>
          <mc:Choice Requires="wps">
            <w:drawing>
              <wp:anchor distT="0" distB="0" distL="114300" distR="114300" simplePos="0" relativeHeight="251658245" behindDoc="0" locked="0" layoutInCell="1" allowOverlap="1" wp14:anchorId="54E6711A" wp14:editId="199B4009">
                <wp:simplePos x="0" y="0"/>
                <wp:positionH relativeFrom="column">
                  <wp:posOffset>109855</wp:posOffset>
                </wp:positionH>
                <wp:positionV relativeFrom="paragraph">
                  <wp:posOffset>8429625</wp:posOffset>
                </wp:positionV>
                <wp:extent cx="2882900" cy="635"/>
                <wp:effectExtent l="0" t="0" r="0" b="12065"/>
                <wp:wrapSquare wrapText="bothSides"/>
                <wp:docPr id="5" name="Text Box 5"/>
                <wp:cNvGraphicFramePr/>
                <a:graphic xmlns:a="http://schemas.openxmlformats.org/drawingml/2006/main">
                  <a:graphicData uri="http://schemas.microsoft.com/office/word/2010/wordprocessingShape">
                    <wps:wsp>
                      <wps:cNvSpPr txBox="1"/>
                      <wps:spPr>
                        <a:xfrm>
                          <a:off x="0" y="0"/>
                          <a:ext cx="2882900" cy="635"/>
                        </a:xfrm>
                        <a:prstGeom prst="rect">
                          <a:avLst/>
                        </a:prstGeom>
                        <a:solidFill>
                          <a:prstClr val="white"/>
                        </a:solidFill>
                        <a:ln>
                          <a:noFill/>
                        </a:ln>
                      </wps:spPr>
                      <wps:txbx>
                        <w:txbxContent>
                          <w:p w14:paraId="66CB29E8" w14:textId="4B24675D" w:rsidR="00886288" w:rsidRPr="00350B96" w:rsidRDefault="00886288" w:rsidP="00886288">
                            <w:pPr>
                              <w:pStyle w:val="Caption"/>
                              <w:rPr>
                                <w:b/>
                                <w:bCs/>
                                <w:color w:val="auto"/>
                                <w:sz w:val="24"/>
                                <w:szCs w:val="24"/>
                                <w:lang w:bidi="en-GB"/>
                              </w:rPr>
                            </w:pPr>
                            <w:r>
                              <w:t>Figure 2 Residuals Correlation from Linear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E6711A" id="Text Box 5" o:spid="_x0000_s1032" type="#_x0000_t202" style="position:absolute;left:0;text-align:left;margin-left:8.65pt;margin-top:663.75pt;width:227pt;height:.0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" stroked="f">
                <v:textbox style="mso-fit-shape-to-text:t" inset="0,0,0,0">
                  <w:txbxContent>
                    <w:p w14:paraId="66CB29E8" w14:textId="4B24675D" w:rsidR="00886288" w:rsidRPr="00350B96" w:rsidRDefault="00886288" w:rsidP="00886288">
                      <w:pPr>
                        <w:pStyle w:val="Caption"/>
                        <w:rPr>
                          <w:b/>
                          <w:bCs/>
                          <w:color w:val="auto"/>
                          <w:sz w:val="24"/>
                          <w:szCs w:val="24"/>
                          <w:lang w:bidi="en-GB"/>
                        </w:rPr>
                      </w:pPr>
                      <w:r>
                        <w:t>Figure 2 Residuals Correlation from Linear Models</w:t>
                      </w:r>
                    </w:p>
                  </w:txbxContent>
                </v:textbox>
                <w10:wrap type="square"/>
              </v:shape>
            </w:pict>
          </mc:Fallback>
        </mc:AlternateContent>
      </w:r>
      <w:r w:rsidR="00886288" w:rsidRPr="00101B71">
        <w:rPr>
          <w:noProof/>
          <w:lang w:bidi="en-GB"/>
        </w:rPr>
        <w:drawing>
          <wp:anchor distT="0" distB="0" distL="114300" distR="114300" simplePos="0" relativeHeight="251658244" behindDoc="0" locked="0" layoutInCell="1" allowOverlap="1" wp14:anchorId="1899FFA0" wp14:editId="70F41626">
            <wp:simplePos x="0" y="0"/>
            <wp:positionH relativeFrom="column">
              <wp:posOffset>109855</wp:posOffset>
            </wp:positionH>
            <wp:positionV relativeFrom="paragraph">
              <wp:posOffset>3834976</wp:posOffset>
            </wp:positionV>
            <wp:extent cx="2882900" cy="4537710"/>
            <wp:effectExtent l="0" t="0" r="0" b="0"/>
            <wp:wrapSquare wrapText="bothSides"/>
            <wp:docPr id="3" name="Picture 3" descr="Table&#10;&#10;Description automatically generated">
              <a:extLst xmlns:a="http://schemas.openxmlformats.org/drawingml/2006/main">
                <a:ext uri="{FF2B5EF4-FFF2-40B4-BE49-F238E27FC236}">
                  <a16:creationId xmlns:a16="http://schemas.microsoft.com/office/drawing/2014/main" id="{444D8D18-FF7C-52A6-7A14-CFC67EB29B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able&#10;&#10;Description automatically generated">
                      <a:extLst>
                        <a:ext uri="{FF2B5EF4-FFF2-40B4-BE49-F238E27FC236}">
                          <a16:creationId xmlns:a16="http://schemas.microsoft.com/office/drawing/2014/main" id="{444D8D18-FF7C-52A6-7A14-CFC67EB29B61}"/>
                        </a:ext>
                      </a:extLst>
                    </pic:cNvPr>
                    <pic:cNvPicPr>
                      <a:picLocks noChangeAspect="1"/>
                    </pic:cNvPicPr>
                  </pic:nvPicPr>
                  <pic:blipFill rotWithShape="1">
                    <a:blip r:embed="rId18">
                      <a:extLst>
                        <a:ext uri="{28A0092B-C50C-407E-A947-70E740481C1C}">
                          <a14:useLocalDpi xmlns:a14="http://schemas.microsoft.com/office/drawing/2010/main" val="0"/>
                        </a:ext>
                      </a:extLst>
                    </a:blip>
                    <a:srcRect l="535" t="4782" r="23380"/>
                    <a:stretch/>
                  </pic:blipFill>
                  <pic:spPr>
                    <a:xfrm>
                      <a:off x="0" y="0"/>
                      <a:ext cx="2882900" cy="4537710"/>
                    </a:xfrm>
                    <a:prstGeom prst="rect">
                      <a:avLst/>
                    </a:prstGeom>
                  </pic:spPr>
                </pic:pic>
              </a:graphicData>
            </a:graphic>
            <wp14:sizeRelH relativeFrom="page">
              <wp14:pctWidth>0</wp14:pctWidth>
            </wp14:sizeRelH>
            <wp14:sizeRelV relativeFrom="page">
              <wp14:pctHeight>0</wp14:pctHeight>
            </wp14:sizeRelV>
          </wp:anchor>
        </w:drawing>
      </w:r>
      <w:r w:rsidR="0040006D" w:rsidRPr="00101B71">
        <w:rPr>
          <w:noProof/>
        </w:rPr>
        <mc:AlternateContent>
          <mc:Choice Requires="wps">
            <w:drawing>
              <wp:anchor distT="0" distB="0" distL="114300" distR="114300" simplePos="0" relativeHeight="251658243" behindDoc="1" locked="0" layoutInCell="1" allowOverlap="1" wp14:anchorId="7C0608AE" wp14:editId="54DBB4FD">
                <wp:simplePos x="0" y="0"/>
                <wp:positionH relativeFrom="column">
                  <wp:posOffset>112395</wp:posOffset>
                </wp:positionH>
                <wp:positionV relativeFrom="paragraph">
                  <wp:posOffset>3550920</wp:posOffset>
                </wp:positionV>
                <wp:extent cx="5575300" cy="635"/>
                <wp:effectExtent l="0" t="0" r="0" b="12065"/>
                <wp:wrapTight wrapText="bothSides">
                  <wp:wrapPolygon edited="0">
                    <wp:start x="0" y="0"/>
                    <wp:lineTo x="0" y="0"/>
                    <wp:lineTo x="21551" y="0"/>
                    <wp:lineTo x="21551"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5575300" cy="635"/>
                        </a:xfrm>
                        <a:prstGeom prst="rect">
                          <a:avLst/>
                        </a:prstGeom>
                        <a:solidFill>
                          <a:prstClr val="white"/>
                        </a:solidFill>
                        <a:ln>
                          <a:noFill/>
                        </a:ln>
                      </wps:spPr>
                      <wps:txbx>
                        <w:txbxContent>
                          <w:p w14:paraId="6C0D0CF6" w14:textId="15D73D67" w:rsidR="0040006D" w:rsidRPr="0040006D" w:rsidRDefault="0040006D" w:rsidP="0040006D">
                            <w:pPr>
                              <w:pStyle w:val="Caption"/>
                              <w:rPr>
                                <w:b/>
                                <w:bCs/>
                                <w:noProof/>
                                <w:color w:val="auto"/>
                                <w:sz w:val="28"/>
                                <w:szCs w:val="28"/>
                              </w:rPr>
                            </w:pPr>
                            <w:r w:rsidRPr="0040006D">
                              <w:rPr>
                                <w:sz w:val="22"/>
                                <w:szCs w:val="22"/>
                              </w:rPr>
                              <w:t xml:space="preserve">Figure </w:t>
                            </w:r>
                            <w:r w:rsidR="009B5B9A">
                              <w:rPr>
                                <w:sz w:val="22"/>
                                <w:szCs w:val="22"/>
                              </w:rPr>
                              <w:t>1</w:t>
                            </w:r>
                            <w:r w:rsidRPr="0040006D">
                              <w:rPr>
                                <w:sz w:val="22"/>
                                <w:szCs w:val="22"/>
                              </w:rPr>
                              <w:t xml:space="preserve"> Classification Table from Chadha et al. (2020)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0608AE" id="Text Box 7" o:spid="_x0000_s1033" type="#_x0000_t202" style="position:absolute;left:0;text-align:left;margin-left:8.85pt;margin-top:279.6pt;width:439pt;height:.05pt;z-index:-2516582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" stroked="f">
                <v:textbox style="mso-fit-shape-to-text:t" inset="0,0,0,0">
                  <w:txbxContent>
                    <w:p w14:paraId="6C0D0CF6" w14:textId="15D73D67" w:rsidR="0040006D" w:rsidRPr="0040006D" w:rsidRDefault="0040006D" w:rsidP="0040006D">
                      <w:pPr>
                        <w:pStyle w:val="Caption"/>
                        <w:rPr>
                          <w:b/>
                          <w:bCs/>
                          <w:noProof/>
                          <w:color w:val="auto"/>
                          <w:sz w:val="28"/>
                          <w:szCs w:val="28"/>
                        </w:rPr>
                      </w:pPr>
                      <w:r w:rsidRPr="0040006D">
                        <w:rPr>
                          <w:sz w:val="22"/>
                          <w:szCs w:val="22"/>
                        </w:rPr>
                        <w:t xml:space="preserve">Figure </w:t>
                      </w:r>
                      <w:r w:rsidR="009B5B9A">
                        <w:rPr>
                          <w:sz w:val="22"/>
                          <w:szCs w:val="22"/>
                        </w:rPr>
                        <w:t>1</w:t>
                      </w:r>
                      <w:r w:rsidRPr="0040006D">
                        <w:rPr>
                          <w:sz w:val="22"/>
                          <w:szCs w:val="22"/>
                        </w:rPr>
                        <w:t xml:space="preserve"> Classification Table from Chadha et al. (2020)</w:t>
                      </w:r>
                    </w:p>
                  </w:txbxContent>
                </v:textbox>
                <w10:wrap type="tight"/>
              </v:shape>
            </w:pict>
          </mc:Fallback>
        </mc:AlternateContent>
      </w:r>
      <w:r w:rsidR="0040006D" w:rsidRPr="00101B71">
        <w:rPr>
          <w:noProof/>
        </w:rPr>
        <w:drawing>
          <wp:anchor distT="0" distB="0" distL="114300" distR="114300" simplePos="0" relativeHeight="251658242" behindDoc="1" locked="0" layoutInCell="1" allowOverlap="1" wp14:anchorId="473F57BE" wp14:editId="24B1F1F0">
            <wp:simplePos x="0" y="0"/>
            <wp:positionH relativeFrom="column">
              <wp:posOffset>112395</wp:posOffset>
            </wp:positionH>
            <wp:positionV relativeFrom="paragraph">
              <wp:posOffset>338983</wp:posOffset>
            </wp:positionV>
            <wp:extent cx="5575300" cy="3155315"/>
            <wp:effectExtent l="0" t="0" r="0" b="0"/>
            <wp:wrapTight wrapText="bothSides">
              <wp:wrapPolygon edited="0">
                <wp:start x="0" y="0"/>
                <wp:lineTo x="0" y="21474"/>
                <wp:lineTo x="21551" y="21474"/>
                <wp:lineTo x="2155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9965"/>
                    <a:stretch/>
                  </pic:blipFill>
                  <pic:spPr bwMode="auto">
                    <a:xfrm>
                      <a:off x="0" y="0"/>
                      <a:ext cx="5575300" cy="3155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006D" w:rsidRPr="00101B71">
        <w:rPr>
          <w:lang w:bidi="en-GB"/>
        </w:rPr>
        <w:t>Figures</w:t>
      </w:r>
      <w:bookmarkEnd w:id="18"/>
    </w:p>
    <w:p w14:paraId="64540738" w14:textId="77777777" w:rsidR="000344CD" w:rsidRPr="00101B71" w:rsidRDefault="000344CD">
      <w:pPr>
        <w:rPr>
          <w:rFonts w:asciiTheme="majorHAnsi" w:eastAsiaTheme="majorEastAsia" w:hAnsiTheme="majorHAnsi" w:cstheme="majorBidi"/>
          <w:b/>
          <w:bCs/>
          <w:lang w:bidi="en-GB"/>
        </w:rPr>
      </w:pPr>
      <w:r w:rsidRPr="00101B71">
        <w:rPr>
          <w:lang w:bidi="en-GB"/>
        </w:rPr>
        <w:br w:type="page"/>
      </w:r>
    </w:p>
    <w:p w14:paraId="0CBFC60B" w14:textId="52DC384A" w:rsidR="009B2724" w:rsidRPr="00101B71" w:rsidRDefault="00E641C8" w:rsidP="00707801">
      <w:pPr>
        <w:rPr>
          <w:lang w:bidi="en-GB"/>
        </w:rPr>
      </w:pPr>
      <w:r w:rsidRPr="00101B71">
        <w:rPr>
          <w:noProof/>
        </w:rPr>
        <mc:AlternateContent>
          <mc:Choice Requires="wps">
            <w:drawing>
              <wp:anchor distT="0" distB="0" distL="114300" distR="114300" simplePos="0" relativeHeight="251658255" behindDoc="0" locked="0" layoutInCell="1" allowOverlap="1" wp14:anchorId="65684859" wp14:editId="323685EA">
                <wp:simplePos x="0" y="0"/>
                <wp:positionH relativeFrom="column">
                  <wp:posOffset>349885</wp:posOffset>
                </wp:positionH>
                <wp:positionV relativeFrom="paragraph">
                  <wp:posOffset>3714750</wp:posOffset>
                </wp:positionV>
                <wp:extent cx="5029200" cy="635"/>
                <wp:effectExtent l="0" t="0" r="0" b="12065"/>
                <wp:wrapSquare wrapText="bothSides"/>
                <wp:docPr id="17" name="Text Box 17"/>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43BEA061" w14:textId="4D5BED72" w:rsidR="00E641C8" w:rsidRPr="000C0085" w:rsidRDefault="00E641C8" w:rsidP="00E641C8">
                            <w:pPr>
                              <w:pStyle w:val="Caption"/>
                              <w:rPr>
                                <w:b/>
                                <w:bCs/>
                                <w:noProof/>
                                <w:color w:val="auto"/>
                                <w:sz w:val="24"/>
                                <w:szCs w:val="24"/>
                                <w:lang w:val="en-GB" w:bidi="en-GB"/>
                              </w:rPr>
                            </w:pPr>
                            <w:r>
                              <w:t xml:space="preserve">Figure 4 Residuals from GARCH Model plotted </w:t>
                            </w:r>
                            <w:r w:rsidR="004F7EE6">
                              <w:t>over</w:t>
                            </w:r>
                            <w:r>
                              <w:t xml:space="preserve">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684859" id="Text Box 17" o:spid="_x0000_s1034" type="#_x0000_t202" style="position:absolute;left:0;text-align:left;margin-left:27.55pt;margin-top:292.5pt;width:396pt;height:.05pt;z-index:25165825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" stroked="f">
                <v:textbox style="mso-fit-shape-to-text:t" inset="0,0,0,0">
                  <w:txbxContent>
                    <w:p w14:paraId="43BEA061" w14:textId="4D5BED72" w:rsidR="00E641C8" w:rsidRPr="000C0085" w:rsidRDefault="00E641C8" w:rsidP="00E641C8">
                      <w:pPr>
                        <w:pStyle w:val="Caption"/>
                        <w:rPr>
                          <w:b/>
                          <w:bCs/>
                          <w:noProof/>
                          <w:color w:val="auto"/>
                          <w:sz w:val="24"/>
                          <w:szCs w:val="24"/>
                          <w:lang w:val="en-GB" w:bidi="en-GB"/>
                        </w:rPr>
                      </w:pPr>
                      <w:r>
                        <w:t xml:space="preserve">Figure 4 Residuals from GARCH Model plotted </w:t>
                      </w:r>
                      <w:r w:rsidR="004F7EE6">
                        <w:t>over</w:t>
                      </w:r>
                      <w:r>
                        <w:t xml:space="preserve"> Time</w:t>
                      </w:r>
                    </w:p>
                  </w:txbxContent>
                </v:textbox>
                <w10:wrap type="square"/>
              </v:shape>
            </w:pict>
          </mc:Fallback>
        </mc:AlternateContent>
      </w:r>
      <w:r w:rsidRPr="00101B71">
        <w:rPr>
          <w:noProof/>
          <w:lang w:bidi="en-GB"/>
        </w:rPr>
        <w:drawing>
          <wp:anchor distT="0" distB="0" distL="114300" distR="114300" simplePos="0" relativeHeight="251658254" behindDoc="0" locked="0" layoutInCell="1" allowOverlap="1" wp14:anchorId="14D103DB" wp14:editId="738DE8D5">
            <wp:simplePos x="0" y="0"/>
            <wp:positionH relativeFrom="column">
              <wp:posOffset>349885</wp:posOffset>
            </wp:positionH>
            <wp:positionV relativeFrom="paragraph">
              <wp:posOffset>0</wp:posOffset>
            </wp:positionV>
            <wp:extent cx="5029200" cy="36576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14:sizeRelH relativeFrom="page">
              <wp14:pctWidth>0</wp14:pctWidth>
            </wp14:sizeRelH>
            <wp14:sizeRelV relativeFrom="page">
              <wp14:pctHeight>0</wp14:pctHeight>
            </wp14:sizeRelV>
          </wp:anchor>
        </w:drawing>
      </w:r>
    </w:p>
    <w:sectPr w:rsidR="009B2724" w:rsidRPr="00101B71" w:rsidSect="00E05C77">
      <w:headerReference w:type="default" r:id="rId21"/>
      <w:headerReference w:type="first" r:id="rId22"/>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7E2FE" w14:textId="77777777" w:rsidR="00F57629" w:rsidRDefault="00F57629">
      <w:pPr>
        <w:spacing w:line="240" w:lineRule="auto"/>
      </w:pPr>
      <w:r>
        <w:separator/>
      </w:r>
    </w:p>
  </w:endnote>
  <w:endnote w:type="continuationSeparator" w:id="0">
    <w:p w14:paraId="6013E9D8" w14:textId="77777777" w:rsidR="00F57629" w:rsidRDefault="00F57629">
      <w:pPr>
        <w:spacing w:line="240" w:lineRule="auto"/>
      </w:pPr>
      <w:r>
        <w:continuationSeparator/>
      </w:r>
    </w:p>
  </w:endnote>
  <w:endnote w:type="continuationNotice" w:id="1">
    <w:p w14:paraId="2E42C5EB" w14:textId="77777777" w:rsidR="00DF4D8A" w:rsidRDefault="00DF4D8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83E13" w14:textId="77777777" w:rsidR="00F57629" w:rsidRDefault="00F57629">
      <w:pPr>
        <w:spacing w:line="240" w:lineRule="auto"/>
      </w:pPr>
      <w:r>
        <w:separator/>
      </w:r>
    </w:p>
  </w:footnote>
  <w:footnote w:type="continuationSeparator" w:id="0">
    <w:p w14:paraId="13D52000" w14:textId="77777777" w:rsidR="00F57629" w:rsidRDefault="00F57629">
      <w:pPr>
        <w:spacing w:line="240" w:lineRule="auto"/>
      </w:pPr>
      <w:r>
        <w:continuationSeparator/>
      </w:r>
    </w:p>
  </w:footnote>
  <w:footnote w:type="continuationNotice" w:id="1">
    <w:p w14:paraId="1BBA4734" w14:textId="77777777" w:rsidR="00DF4D8A" w:rsidRDefault="00DF4D8A">
      <w:pPr>
        <w:spacing w:line="240" w:lineRule="auto"/>
      </w:pPr>
    </w:p>
  </w:footnote>
  <w:footnote w:id="2">
    <w:p w14:paraId="7B4414ED" w14:textId="2B58DE54" w:rsidR="005E2654" w:rsidRPr="00BC23F2" w:rsidRDefault="005E2654">
      <w:pPr>
        <w:pStyle w:val="FootnoteText"/>
      </w:pPr>
      <w:r>
        <w:rPr>
          <w:rStyle w:val="FootnoteReference"/>
        </w:rPr>
        <w:footnoteRef/>
      </w:r>
      <w:r>
        <w:t xml:space="preserve"> </w:t>
      </w:r>
      <w:r w:rsidR="004C42B0" w:rsidRPr="00BC23F2">
        <w:t xml:space="preserve">The </w:t>
      </w:r>
      <w:r w:rsidR="00F64D58">
        <w:t xml:space="preserve">repository with the full </w:t>
      </w:r>
      <w:r w:rsidR="004C42B0" w:rsidRPr="00BC23F2">
        <w:t xml:space="preserve">code </w:t>
      </w:r>
      <w:r w:rsidR="00BE7BE4">
        <w:t xml:space="preserve">employed in the analysis </w:t>
      </w:r>
      <w:r w:rsidR="004C42B0" w:rsidRPr="00BC23F2">
        <w:t xml:space="preserve">is available </w:t>
      </w:r>
      <w:r w:rsidR="00BC23F2" w:rsidRPr="00BC23F2">
        <w:t xml:space="preserve">at the </w:t>
      </w:r>
      <w:r w:rsidR="00BC23F2">
        <w:t>following link:</w:t>
      </w:r>
      <w:r w:rsidR="00F64D58">
        <w:t xml:space="preserve"> </w:t>
      </w:r>
      <w:hyperlink r:id="rId1" w:history="1">
        <w:r w:rsidR="00BE7BE4" w:rsidRPr="00D53F1F">
          <w:rPr>
            <w:rStyle w:val="Hyperlink"/>
          </w:rPr>
          <w:t>https://github.com/tricarico672/Capstone_Text_Analysis</w:t>
        </w:r>
      </w:hyperlink>
    </w:p>
  </w:footnote>
  <w:footnote w:id="3">
    <w:p w14:paraId="7915B481" w14:textId="177A070E" w:rsidR="00FF4838" w:rsidRPr="00FF4838" w:rsidRDefault="00FF4838">
      <w:pPr>
        <w:pStyle w:val="FootnoteText"/>
      </w:pPr>
      <w:r>
        <w:rPr>
          <w:rStyle w:val="FootnoteReference"/>
        </w:rPr>
        <w:footnoteRef/>
      </w:r>
      <w:r>
        <w:t xml:space="preserve"> </w:t>
      </w:r>
      <w:r w:rsidRPr="00FF4838">
        <w:t xml:space="preserve">See </w:t>
      </w:r>
      <w:r w:rsidR="009B2724">
        <w:t>Figure</w:t>
      </w:r>
      <w:r w:rsidRPr="00FF4838">
        <w:t xml:space="preserve"> </w:t>
      </w:r>
      <w:r>
        <w:t>1 in the appendix</w:t>
      </w:r>
      <w:r w:rsidRPr="00FF4838">
        <w:t xml:space="preserve"> for reference on </w:t>
      </w:r>
      <w:r>
        <w:t>which words were included for the classification of each tone</w:t>
      </w:r>
      <w:r w:rsidR="009B2724">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0E42B" w14:textId="00D5A356" w:rsidR="008C1C75" w:rsidRDefault="007F24D4">
    <w:pPr>
      <w:pStyle w:val="Header"/>
    </w:pPr>
    <w:sdt>
      <w:sdtPr>
        <w:rPr>
          <w:rStyle w:val="Strong"/>
        </w:rPr>
        <w:alias w:val="Running head"/>
        <w:tag w:val=""/>
        <w:id w:val="1072628492"/>
        <w:placeholder>
          <w:docPart w:val="F23A6838F5B1DE4AA7327465E289EF0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3D3788">
          <w:rPr>
            <w:rStyle w:val="Strong"/>
          </w:rPr>
          <w:t>Monetary policies and equity market volatility</w:t>
        </w:r>
      </w:sdtContent>
    </w:sdt>
    <w:r w:rsidR="00CE59D0">
      <w:rPr>
        <w:rStyle w:val="Strong"/>
        <w:lang w:val="en-GB" w:bidi="en-GB"/>
      </w:rPr>
      <w:t xml:space="preserve"> </w:t>
    </w:r>
    <w:r w:rsidR="00CE59D0">
      <w:rPr>
        <w:rStyle w:val="Strong"/>
        <w:lang w:val="en-GB" w:bidi="en-GB"/>
      </w:rPr>
      <w:ptab w:relativeTo="margin" w:alignment="right" w:leader="none"/>
    </w:r>
    <w:r w:rsidR="0057668F">
      <w:rPr>
        <w:rStyle w:val="Strong"/>
        <w:caps w:val="0"/>
        <w:lang w:val="en-GB" w:bidi="en-GB"/>
      </w:rPr>
      <w:t xml:space="preserve">Tricarico </w:t>
    </w:r>
    <w:r w:rsidR="00CE59D0">
      <w:rPr>
        <w:rStyle w:val="Strong"/>
        <w:lang w:val="en-GB" w:bidi="en-GB"/>
      </w:rPr>
      <w:fldChar w:fldCharType="begin"/>
    </w:r>
    <w:r w:rsidR="00CE59D0">
      <w:rPr>
        <w:rStyle w:val="Strong"/>
        <w:lang w:val="en-GB" w:bidi="en-GB"/>
      </w:rPr>
      <w:instrText xml:space="preserve"> PAGE   \* MERGEFORMAT </w:instrText>
    </w:r>
    <w:r w:rsidR="00CE59D0">
      <w:rPr>
        <w:rStyle w:val="Strong"/>
        <w:lang w:val="en-GB" w:bidi="en-GB"/>
      </w:rPr>
      <w:fldChar w:fldCharType="separate"/>
    </w:r>
    <w:r w:rsidR="00E05C77">
      <w:rPr>
        <w:rStyle w:val="Strong"/>
        <w:noProof/>
        <w:lang w:val="en-GB" w:bidi="en-GB"/>
      </w:rPr>
      <w:t>9</w:t>
    </w:r>
    <w:r w:rsidR="00CE59D0">
      <w:rPr>
        <w:rStyle w:val="Strong"/>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EAFE1" w14:textId="3A70F13A" w:rsidR="008C1C75" w:rsidRDefault="00CE59D0">
    <w:pPr>
      <w:pStyle w:val="Header"/>
      <w:rPr>
        <w:rStyle w:val="Strong"/>
      </w:rPr>
    </w:pPr>
    <w:r>
      <w:rPr>
        <w:lang w:val="en-GB" w:bidi="en-GB"/>
      </w:rPr>
      <w:t xml:space="preserve">Running head: </w:t>
    </w:r>
    <w:sdt>
      <w:sdtPr>
        <w:rPr>
          <w:rStyle w:val="Strong"/>
        </w:rPr>
        <w:alias w:val="Running head"/>
        <w:tag w:val=""/>
        <w:id w:val="-696842620"/>
        <w:placeholder>
          <w:docPart w:val="611691286B1AFE4E9E1EFB92BCFE0BF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3D3788">
          <w:rPr>
            <w:rStyle w:val="Strong"/>
          </w:rPr>
          <w:t>Monetary policies and equity market volatility</w:t>
        </w:r>
      </w:sdtContent>
    </w:sdt>
    <w:r>
      <w:rPr>
        <w:rStyle w:val="Strong"/>
        <w:lang w:val="en-GB" w:bidi="en-GB"/>
      </w:rPr>
      <w:t xml:space="preserve"> </w:t>
    </w:r>
    <w:r>
      <w:rPr>
        <w:rStyle w:val="Strong"/>
        <w:lang w:val="en-GB" w:bidi="en-GB"/>
      </w:rPr>
      <w:ptab w:relativeTo="margin" w:alignment="right" w:leader="none"/>
    </w:r>
    <w:r>
      <w:rPr>
        <w:rStyle w:val="Strong"/>
        <w:lang w:val="en-GB" w:bidi="en-GB"/>
      </w:rPr>
      <w:fldChar w:fldCharType="begin"/>
    </w:r>
    <w:r>
      <w:rPr>
        <w:rStyle w:val="Strong"/>
        <w:lang w:val="en-GB" w:bidi="en-GB"/>
      </w:rPr>
      <w:instrText xml:space="preserve"> PAGE   \* MERGEFORMAT </w:instrText>
    </w:r>
    <w:r>
      <w:rPr>
        <w:rStyle w:val="Strong"/>
        <w:lang w:val="en-GB" w:bidi="en-GB"/>
      </w:rPr>
      <w:fldChar w:fldCharType="separate"/>
    </w:r>
    <w:r w:rsidR="00E05C77">
      <w:rPr>
        <w:rStyle w:val="Strong"/>
        <w:noProof/>
        <w:lang w:val="en-GB" w:bidi="en-GB"/>
      </w:rPr>
      <w:t>1</w:t>
    </w:r>
    <w:r>
      <w:rPr>
        <w:rStyle w:val="Strong"/>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429737649">
    <w:abstractNumId w:val="9"/>
  </w:num>
  <w:num w:numId="2" w16cid:durableId="1785686659">
    <w:abstractNumId w:val="7"/>
  </w:num>
  <w:num w:numId="3" w16cid:durableId="641812451">
    <w:abstractNumId w:val="6"/>
  </w:num>
  <w:num w:numId="4" w16cid:durableId="377239744">
    <w:abstractNumId w:val="5"/>
  </w:num>
  <w:num w:numId="5" w16cid:durableId="700859911">
    <w:abstractNumId w:val="4"/>
  </w:num>
  <w:num w:numId="6" w16cid:durableId="1816097824">
    <w:abstractNumId w:val="8"/>
  </w:num>
  <w:num w:numId="7" w16cid:durableId="932125428">
    <w:abstractNumId w:val="3"/>
  </w:num>
  <w:num w:numId="8" w16cid:durableId="341587375">
    <w:abstractNumId w:val="2"/>
  </w:num>
  <w:num w:numId="9" w16cid:durableId="1833178950">
    <w:abstractNumId w:val="1"/>
  </w:num>
  <w:num w:numId="10" w16cid:durableId="1769159266">
    <w:abstractNumId w:val="0"/>
  </w:num>
  <w:num w:numId="11" w16cid:durableId="69692804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788"/>
    <w:rsid w:val="00003E50"/>
    <w:rsid w:val="00006BB7"/>
    <w:rsid w:val="000075AE"/>
    <w:rsid w:val="0001379E"/>
    <w:rsid w:val="00017428"/>
    <w:rsid w:val="00020EFC"/>
    <w:rsid w:val="0003060A"/>
    <w:rsid w:val="000323BB"/>
    <w:rsid w:val="000344CD"/>
    <w:rsid w:val="00036A68"/>
    <w:rsid w:val="00041DBF"/>
    <w:rsid w:val="000437C2"/>
    <w:rsid w:val="00044A7F"/>
    <w:rsid w:val="000473F9"/>
    <w:rsid w:val="00051439"/>
    <w:rsid w:val="0005180E"/>
    <w:rsid w:val="000539BC"/>
    <w:rsid w:val="00067365"/>
    <w:rsid w:val="0007166E"/>
    <w:rsid w:val="00080ABF"/>
    <w:rsid w:val="00095E81"/>
    <w:rsid w:val="00096CF4"/>
    <w:rsid w:val="000B2A71"/>
    <w:rsid w:val="000B7EB8"/>
    <w:rsid w:val="000C73E8"/>
    <w:rsid w:val="000E1930"/>
    <w:rsid w:val="000F653B"/>
    <w:rsid w:val="000F679A"/>
    <w:rsid w:val="00101B71"/>
    <w:rsid w:val="00102E2F"/>
    <w:rsid w:val="00105079"/>
    <w:rsid w:val="0010553A"/>
    <w:rsid w:val="00105A3C"/>
    <w:rsid w:val="0011146D"/>
    <w:rsid w:val="00112277"/>
    <w:rsid w:val="00112F81"/>
    <w:rsid w:val="001252AF"/>
    <w:rsid w:val="001257C8"/>
    <w:rsid w:val="00127495"/>
    <w:rsid w:val="001274C0"/>
    <w:rsid w:val="00127C3A"/>
    <w:rsid w:val="001300FA"/>
    <w:rsid w:val="00136103"/>
    <w:rsid w:val="00136E98"/>
    <w:rsid w:val="00140DFB"/>
    <w:rsid w:val="00142B11"/>
    <w:rsid w:val="00163306"/>
    <w:rsid w:val="0016494E"/>
    <w:rsid w:val="001664D1"/>
    <w:rsid w:val="001726E6"/>
    <w:rsid w:val="001807CE"/>
    <w:rsid w:val="001826FF"/>
    <w:rsid w:val="00190D62"/>
    <w:rsid w:val="00192BC1"/>
    <w:rsid w:val="001A0FFD"/>
    <w:rsid w:val="001A17FB"/>
    <w:rsid w:val="001A3B0A"/>
    <w:rsid w:val="001A6627"/>
    <w:rsid w:val="001B12DA"/>
    <w:rsid w:val="001B1766"/>
    <w:rsid w:val="001B21EF"/>
    <w:rsid w:val="001B356B"/>
    <w:rsid w:val="001C2D2B"/>
    <w:rsid w:val="001C5339"/>
    <w:rsid w:val="001D0DEA"/>
    <w:rsid w:val="001D14E6"/>
    <w:rsid w:val="001D4082"/>
    <w:rsid w:val="001E08CD"/>
    <w:rsid w:val="001E22F0"/>
    <w:rsid w:val="001E2932"/>
    <w:rsid w:val="001E7EE2"/>
    <w:rsid w:val="001F42DB"/>
    <w:rsid w:val="001F5B68"/>
    <w:rsid w:val="0020033A"/>
    <w:rsid w:val="002006ED"/>
    <w:rsid w:val="0020279F"/>
    <w:rsid w:val="00202FE2"/>
    <w:rsid w:val="00207617"/>
    <w:rsid w:val="00210D16"/>
    <w:rsid w:val="00211D0D"/>
    <w:rsid w:val="00213CA9"/>
    <w:rsid w:val="0021419A"/>
    <w:rsid w:val="00216EE4"/>
    <w:rsid w:val="00217715"/>
    <w:rsid w:val="00217746"/>
    <w:rsid w:val="00230742"/>
    <w:rsid w:val="00231382"/>
    <w:rsid w:val="002326A6"/>
    <w:rsid w:val="0023368D"/>
    <w:rsid w:val="0023413D"/>
    <w:rsid w:val="0023531F"/>
    <w:rsid w:val="002373DB"/>
    <w:rsid w:val="00240242"/>
    <w:rsid w:val="002479B4"/>
    <w:rsid w:val="00261158"/>
    <w:rsid w:val="00263822"/>
    <w:rsid w:val="00263D4A"/>
    <w:rsid w:val="00270B3F"/>
    <w:rsid w:val="002714AD"/>
    <w:rsid w:val="00284A60"/>
    <w:rsid w:val="00284E5A"/>
    <w:rsid w:val="00291681"/>
    <w:rsid w:val="0029206C"/>
    <w:rsid w:val="00293D65"/>
    <w:rsid w:val="002A33E4"/>
    <w:rsid w:val="002B04D5"/>
    <w:rsid w:val="002B2173"/>
    <w:rsid w:val="002B31A7"/>
    <w:rsid w:val="002B40F7"/>
    <w:rsid w:val="002B6FF1"/>
    <w:rsid w:val="002C03AD"/>
    <w:rsid w:val="002C087D"/>
    <w:rsid w:val="002C62CB"/>
    <w:rsid w:val="002D1084"/>
    <w:rsid w:val="002D48E1"/>
    <w:rsid w:val="002D7254"/>
    <w:rsid w:val="002F075F"/>
    <w:rsid w:val="002F0B61"/>
    <w:rsid w:val="002F1183"/>
    <w:rsid w:val="002F32A6"/>
    <w:rsid w:val="002F3362"/>
    <w:rsid w:val="002F4D60"/>
    <w:rsid w:val="002F55BE"/>
    <w:rsid w:val="002F5D4A"/>
    <w:rsid w:val="00302019"/>
    <w:rsid w:val="003039F1"/>
    <w:rsid w:val="0030697F"/>
    <w:rsid w:val="00307B93"/>
    <w:rsid w:val="00307FEC"/>
    <w:rsid w:val="00312723"/>
    <w:rsid w:val="003169A0"/>
    <w:rsid w:val="00316A8D"/>
    <w:rsid w:val="00321136"/>
    <w:rsid w:val="00322B5E"/>
    <w:rsid w:val="003234F8"/>
    <w:rsid w:val="003300EC"/>
    <w:rsid w:val="00331A9F"/>
    <w:rsid w:val="00345806"/>
    <w:rsid w:val="00350852"/>
    <w:rsid w:val="0035510A"/>
    <w:rsid w:val="00365755"/>
    <w:rsid w:val="003702A5"/>
    <w:rsid w:val="00370905"/>
    <w:rsid w:val="0037305E"/>
    <w:rsid w:val="0037356A"/>
    <w:rsid w:val="003748D1"/>
    <w:rsid w:val="00375483"/>
    <w:rsid w:val="0037762D"/>
    <w:rsid w:val="0038092C"/>
    <w:rsid w:val="00381409"/>
    <w:rsid w:val="00386394"/>
    <w:rsid w:val="00386ADF"/>
    <w:rsid w:val="003907D5"/>
    <w:rsid w:val="003925CA"/>
    <w:rsid w:val="003A2DC0"/>
    <w:rsid w:val="003A630D"/>
    <w:rsid w:val="003A74CE"/>
    <w:rsid w:val="003B02D7"/>
    <w:rsid w:val="003B07DC"/>
    <w:rsid w:val="003B3E60"/>
    <w:rsid w:val="003C2B40"/>
    <w:rsid w:val="003D20A2"/>
    <w:rsid w:val="003D2AA7"/>
    <w:rsid w:val="003D2E0D"/>
    <w:rsid w:val="003D3788"/>
    <w:rsid w:val="003E37D6"/>
    <w:rsid w:val="003E5DB0"/>
    <w:rsid w:val="003F162B"/>
    <w:rsid w:val="003F18B0"/>
    <w:rsid w:val="003F735A"/>
    <w:rsid w:val="0040006D"/>
    <w:rsid w:val="00403CE4"/>
    <w:rsid w:val="0041171A"/>
    <w:rsid w:val="00415E37"/>
    <w:rsid w:val="00416E42"/>
    <w:rsid w:val="004171BC"/>
    <w:rsid w:val="004256C7"/>
    <w:rsid w:val="00425A98"/>
    <w:rsid w:val="004375EA"/>
    <w:rsid w:val="00440918"/>
    <w:rsid w:val="004562C1"/>
    <w:rsid w:val="00461D86"/>
    <w:rsid w:val="00463496"/>
    <w:rsid w:val="00464C77"/>
    <w:rsid w:val="00467CF0"/>
    <w:rsid w:val="0047036A"/>
    <w:rsid w:val="00471087"/>
    <w:rsid w:val="00477A0E"/>
    <w:rsid w:val="0048099C"/>
    <w:rsid w:val="00495AF8"/>
    <w:rsid w:val="004A1087"/>
    <w:rsid w:val="004A4800"/>
    <w:rsid w:val="004A6EE4"/>
    <w:rsid w:val="004B6641"/>
    <w:rsid w:val="004C3EE2"/>
    <w:rsid w:val="004C42B0"/>
    <w:rsid w:val="004C57E7"/>
    <w:rsid w:val="004D3449"/>
    <w:rsid w:val="004D4489"/>
    <w:rsid w:val="004E0C83"/>
    <w:rsid w:val="004E271B"/>
    <w:rsid w:val="004E566B"/>
    <w:rsid w:val="004E5D1A"/>
    <w:rsid w:val="004F01F9"/>
    <w:rsid w:val="004F30A1"/>
    <w:rsid w:val="004F5CBC"/>
    <w:rsid w:val="004F6995"/>
    <w:rsid w:val="004F7563"/>
    <w:rsid w:val="004F7EE6"/>
    <w:rsid w:val="00501876"/>
    <w:rsid w:val="0050445A"/>
    <w:rsid w:val="005074CE"/>
    <w:rsid w:val="00507827"/>
    <w:rsid w:val="005127E4"/>
    <w:rsid w:val="005128C4"/>
    <w:rsid w:val="005132DB"/>
    <w:rsid w:val="00514187"/>
    <w:rsid w:val="00515270"/>
    <w:rsid w:val="005152F7"/>
    <w:rsid w:val="005220A4"/>
    <w:rsid w:val="0052440A"/>
    <w:rsid w:val="00533025"/>
    <w:rsid w:val="00536825"/>
    <w:rsid w:val="00541303"/>
    <w:rsid w:val="0054380B"/>
    <w:rsid w:val="005557E4"/>
    <w:rsid w:val="00564B94"/>
    <w:rsid w:val="00564F38"/>
    <w:rsid w:val="00565A70"/>
    <w:rsid w:val="00571E0B"/>
    <w:rsid w:val="00572FCF"/>
    <w:rsid w:val="005747A5"/>
    <w:rsid w:val="0057668F"/>
    <w:rsid w:val="00577BD9"/>
    <w:rsid w:val="00581831"/>
    <w:rsid w:val="00585D04"/>
    <w:rsid w:val="00586576"/>
    <w:rsid w:val="00587140"/>
    <w:rsid w:val="0059143B"/>
    <w:rsid w:val="00597221"/>
    <w:rsid w:val="005A5187"/>
    <w:rsid w:val="005A5F89"/>
    <w:rsid w:val="005B5EE8"/>
    <w:rsid w:val="005C5ACD"/>
    <w:rsid w:val="005C75D4"/>
    <w:rsid w:val="005C7BF5"/>
    <w:rsid w:val="005D1225"/>
    <w:rsid w:val="005D1BE2"/>
    <w:rsid w:val="005D1CF4"/>
    <w:rsid w:val="005D2209"/>
    <w:rsid w:val="005E2654"/>
    <w:rsid w:val="005E3C74"/>
    <w:rsid w:val="005E639E"/>
    <w:rsid w:val="005F3BD5"/>
    <w:rsid w:val="005F4076"/>
    <w:rsid w:val="005F6D6B"/>
    <w:rsid w:val="005F73CF"/>
    <w:rsid w:val="00600695"/>
    <w:rsid w:val="00601D79"/>
    <w:rsid w:val="00602A6E"/>
    <w:rsid w:val="00602BE3"/>
    <w:rsid w:val="00603888"/>
    <w:rsid w:val="00606508"/>
    <w:rsid w:val="006065DE"/>
    <w:rsid w:val="006158A2"/>
    <w:rsid w:val="00616899"/>
    <w:rsid w:val="00617181"/>
    <w:rsid w:val="006235EF"/>
    <w:rsid w:val="00623D34"/>
    <w:rsid w:val="006245C2"/>
    <w:rsid w:val="00631AED"/>
    <w:rsid w:val="00634276"/>
    <w:rsid w:val="00634FE2"/>
    <w:rsid w:val="00636254"/>
    <w:rsid w:val="00636B92"/>
    <w:rsid w:val="006416C9"/>
    <w:rsid w:val="00644295"/>
    <w:rsid w:val="006503FC"/>
    <w:rsid w:val="00660DBB"/>
    <w:rsid w:val="00663901"/>
    <w:rsid w:val="00666075"/>
    <w:rsid w:val="00667BC2"/>
    <w:rsid w:val="00671A67"/>
    <w:rsid w:val="006735BC"/>
    <w:rsid w:val="0067716F"/>
    <w:rsid w:val="00677474"/>
    <w:rsid w:val="006908D7"/>
    <w:rsid w:val="00690BE4"/>
    <w:rsid w:val="00693EF9"/>
    <w:rsid w:val="006942E7"/>
    <w:rsid w:val="006A39CC"/>
    <w:rsid w:val="006A4983"/>
    <w:rsid w:val="006B2D87"/>
    <w:rsid w:val="006B608D"/>
    <w:rsid w:val="006C11FD"/>
    <w:rsid w:val="006C29B2"/>
    <w:rsid w:val="006C31A0"/>
    <w:rsid w:val="006C4A64"/>
    <w:rsid w:val="006D26A6"/>
    <w:rsid w:val="006D3F85"/>
    <w:rsid w:val="006D6362"/>
    <w:rsid w:val="006E1886"/>
    <w:rsid w:val="006E53DE"/>
    <w:rsid w:val="006F171F"/>
    <w:rsid w:val="006F2CD4"/>
    <w:rsid w:val="006F3775"/>
    <w:rsid w:val="006F3C27"/>
    <w:rsid w:val="006F41B1"/>
    <w:rsid w:val="006F53BF"/>
    <w:rsid w:val="00703748"/>
    <w:rsid w:val="00707761"/>
    <w:rsid w:val="00707801"/>
    <w:rsid w:val="00707881"/>
    <w:rsid w:val="00714D04"/>
    <w:rsid w:val="00723DFD"/>
    <w:rsid w:val="00724D8E"/>
    <w:rsid w:val="0072701B"/>
    <w:rsid w:val="007279BB"/>
    <w:rsid w:val="00727AA8"/>
    <w:rsid w:val="00727B52"/>
    <w:rsid w:val="00731C85"/>
    <w:rsid w:val="00735D07"/>
    <w:rsid w:val="00736F76"/>
    <w:rsid w:val="00747CCB"/>
    <w:rsid w:val="007501FC"/>
    <w:rsid w:val="0075234D"/>
    <w:rsid w:val="007576F3"/>
    <w:rsid w:val="0076064F"/>
    <w:rsid w:val="00760A2C"/>
    <w:rsid w:val="00763657"/>
    <w:rsid w:val="00764B6F"/>
    <w:rsid w:val="007660EC"/>
    <w:rsid w:val="00776D1B"/>
    <w:rsid w:val="00780E30"/>
    <w:rsid w:val="00781850"/>
    <w:rsid w:val="0079292F"/>
    <w:rsid w:val="007A1581"/>
    <w:rsid w:val="007A175A"/>
    <w:rsid w:val="007C208E"/>
    <w:rsid w:val="007C31B0"/>
    <w:rsid w:val="007D0ABD"/>
    <w:rsid w:val="007D15E2"/>
    <w:rsid w:val="007D1CE9"/>
    <w:rsid w:val="007D30E2"/>
    <w:rsid w:val="007D35FC"/>
    <w:rsid w:val="007D4D7B"/>
    <w:rsid w:val="007D5B0C"/>
    <w:rsid w:val="007D6239"/>
    <w:rsid w:val="007D6C72"/>
    <w:rsid w:val="007E2FB7"/>
    <w:rsid w:val="007E3FCA"/>
    <w:rsid w:val="007E442A"/>
    <w:rsid w:val="007F24D4"/>
    <w:rsid w:val="007F4448"/>
    <w:rsid w:val="007F725A"/>
    <w:rsid w:val="007F7E54"/>
    <w:rsid w:val="008004B6"/>
    <w:rsid w:val="00804BB5"/>
    <w:rsid w:val="00810BA6"/>
    <w:rsid w:val="0081723B"/>
    <w:rsid w:val="008200CD"/>
    <w:rsid w:val="00821E43"/>
    <w:rsid w:val="008254F6"/>
    <w:rsid w:val="008320EA"/>
    <w:rsid w:val="00832518"/>
    <w:rsid w:val="00832ED0"/>
    <w:rsid w:val="008419D5"/>
    <w:rsid w:val="008433B9"/>
    <w:rsid w:val="00844FED"/>
    <w:rsid w:val="00854145"/>
    <w:rsid w:val="008550AB"/>
    <w:rsid w:val="008575D7"/>
    <w:rsid w:val="00857687"/>
    <w:rsid w:val="008608EB"/>
    <w:rsid w:val="0086247C"/>
    <w:rsid w:val="0086441F"/>
    <w:rsid w:val="00870883"/>
    <w:rsid w:val="008708B9"/>
    <w:rsid w:val="008719AC"/>
    <w:rsid w:val="008739A8"/>
    <w:rsid w:val="008777B1"/>
    <w:rsid w:val="00883487"/>
    <w:rsid w:val="00886288"/>
    <w:rsid w:val="00887C8E"/>
    <w:rsid w:val="00897429"/>
    <w:rsid w:val="00897C5E"/>
    <w:rsid w:val="008A00A9"/>
    <w:rsid w:val="008B5DB9"/>
    <w:rsid w:val="008B72CD"/>
    <w:rsid w:val="008C1C75"/>
    <w:rsid w:val="008C266C"/>
    <w:rsid w:val="008C2DA1"/>
    <w:rsid w:val="008C3C6B"/>
    <w:rsid w:val="008D02B0"/>
    <w:rsid w:val="008D0EB3"/>
    <w:rsid w:val="008E04F9"/>
    <w:rsid w:val="008E2F00"/>
    <w:rsid w:val="008E4CB3"/>
    <w:rsid w:val="008E5884"/>
    <w:rsid w:val="008F5581"/>
    <w:rsid w:val="008F5E22"/>
    <w:rsid w:val="00901808"/>
    <w:rsid w:val="009033D2"/>
    <w:rsid w:val="009040E4"/>
    <w:rsid w:val="0090468A"/>
    <w:rsid w:val="00904AA7"/>
    <w:rsid w:val="0091168E"/>
    <w:rsid w:val="00914093"/>
    <w:rsid w:val="00915299"/>
    <w:rsid w:val="009230ED"/>
    <w:rsid w:val="00923DED"/>
    <w:rsid w:val="00930A30"/>
    <w:rsid w:val="00935732"/>
    <w:rsid w:val="00937B6F"/>
    <w:rsid w:val="00940D7A"/>
    <w:rsid w:val="0094230C"/>
    <w:rsid w:val="009464EB"/>
    <w:rsid w:val="00952E84"/>
    <w:rsid w:val="00954445"/>
    <w:rsid w:val="009560B4"/>
    <w:rsid w:val="00960243"/>
    <w:rsid w:val="009620C1"/>
    <w:rsid w:val="00962656"/>
    <w:rsid w:val="00965E65"/>
    <w:rsid w:val="00970015"/>
    <w:rsid w:val="00971204"/>
    <w:rsid w:val="00975D91"/>
    <w:rsid w:val="0098162E"/>
    <w:rsid w:val="00982B43"/>
    <w:rsid w:val="009844B9"/>
    <w:rsid w:val="00986A80"/>
    <w:rsid w:val="00990309"/>
    <w:rsid w:val="009905D8"/>
    <w:rsid w:val="009977FD"/>
    <w:rsid w:val="00997AD8"/>
    <w:rsid w:val="009A2B0C"/>
    <w:rsid w:val="009A3662"/>
    <w:rsid w:val="009A4AB4"/>
    <w:rsid w:val="009A673F"/>
    <w:rsid w:val="009B2724"/>
    <w:rsid w:val="009B2B9B"/>
    <w:rsid w:val="009B2E25"/>
    <w:rsid w:val="009B5B9A"/>
    <w:rsid w:val="009C1454"/>
    <w:rsid w:val="009C1A37"/>
    <w:rsid w:val="009C28A1"/>
    <w:rsid w:val="009C46AD"/>
    <w:rsid w:val="009C4E84"/>
    <w:rsid w:val="009D0270"/>
    <w:rsid w:val="009D3BEB"/>
    <w:rsid w:val="009D4E45"/>
    <w:rsid w:val="009D60FF"/>
    <w:rsid w:val="009D6156"/>
    <w:rsid w:val="009D66C0"/>
    <w:rsid w:val="009E1744"/>
    <w:rsid w:val="009F25C4"/>
    <w:rsid w:val="009F544E"/>
    <w:rsid w:val="009F718B"/>
    <w:rsid w:val="009F73F4"/>
    <w:rsid w:val="00A00C01"/>
    <w:rsid w:val="00A029AF"/>
    <w:rsid w:val="00A02C3E"/>
    <w:rsid w:val="00A02DE2"/>
    <w:rsid w:val="00A04435"/>
    <w:rsid w:val="00A1098B"/>
    <w:rsid w:val="00A17D97"/>
    <w:rsid w:val="00A21AF3"/>
    <w:rsid w:val="00A22413"/>
    <w:rsid w:val="00A2487C"/>
    <w:rsid w:val="00A25020"/>
    <w:rsid w:val="00A271E1"/>
    <w:rsid w:val="00A3044E"/>
    <w:rsid w:val="00A347EC"/>
    <w:rsid w:val="00A41236"/>
    <w:rsid w:val="00A44E32"/>
    <w:rsid w:val="00A51DF5"/>
    <w:rsid w:val="00A536BE"/>
    <w:rsid w:val="00A552BC"/>
    <w:rsid w:val="00A56C42"/>
    <w:rsid w:val="00A71014"/>
    <w:rsid w:val="00A75AFD"/>
    <w:rsid w:val="00A80D46"/>
    <w:rsid w:val="00A80F41"/>
    <w:rsid w:val="00A820EC"/>
    <w:rsid w:val="00A85CB0"/>
    <w:rsid w:val="00A955A5"/>
    <w:rsid w:val="00AA22D7"/>
    <w:rsid w:val="00AA3F9C"/>
    <w:rsid w:val="00AB3CBF"/>
    <w:rsid w:val="00AB4282"/>
    <w:rsid w:val="00AC0D55"/>
    <w:rsid w:val="00AC2C72"/>
    <w:rsid w:val="00AC3315"/>
    <w:rsid w:val="00AC57A5"/>
    <w:rsid w:val="00AD0774"/>
    <w:rsid w:val="00AE1AFF"/>
    <w:rsid w:val="00AE44F6"/>
    <w:rsid w:val="00AF105F"/>
    <w:rsid w:val="00AF6A1F"/>
    <w:rsid w:val="00AF7B7F"/>
    <w:rsid w:val="00B039D5"/>
    <w:rsid w:val="00B166B1"/>
    <w:rsid w:val="00B22C01"/>
    <w:rsid w:val="00B2619E"/>
    <w:rsid w:val="00B456DF"/>
    <w:rsid w:val="00B47D2A"/>
    <w:rsid w:val="00B47FCC"/>
    <w:rsid w:val="00B51E73"/>
    <w:rsid w:val="00B526B1"/>
    <w:rsid w:val="00B53370"/>
    <w:rsid w:val="00B63EF7"/>
    <w:rsid w:val="00B72FB5"/>
    <w:rsid w:val="00B91299"/>
    <w:rsid w:val="00B9228F"/>
    <w:rsid w:val="00B92A65"/>
    <w:rsid w:val="00B9627D"/>
    <w:rsid w:val="00BA4CAB"/>
    <w:rsid w:val="00BB5497"/>
    <w:rsid w:val="00BC01DF"/>
    <w:rsid w:val="00BC23F2"/>
    <w:rsid w:val="00BC4467"/>
    <w:rsid w:val="00BC6F9A"/>
    <w:rsid w:val="00BD1257"/>
    <w:rsid w:val="00BD1D3A"/>
    <w:rsid w:val="00BE1E19"/>
    <w:rsid w:val="00BE1E2E"/>
    <w:rsid w:val="00BE5D58"/>
    <w:rsid w:val="00BE70DC"/>
    <w:rsid w:val="00BE7BE4"/>
    <w:rsid w:val="00BF4CB4"/>
    <w:rsid w:val="00BF4E52"/>
    <w:rsid w:val="00BF5643"/>
    <w:rsid w:val="00BF57BA"/>
    <w:rsid w:val="00BF5D5E"/>
    <w:rsid w:val="00BF5F7D"/>
    <w:rsid w:val="00C11A3D"/>
    <w:rsid w:val="00C168B8"/>
    <w:rsid w:val="00C2084E"/>
    <w:rsid w:val="00C254C1"/>
    <w:rsid w:val="00C26815"/>
    <w:rsid w:val="00C41D92"/>
    <w:rsid w:val="00C41F0B"/>
    <w:rsid w:val="00C477B1"/>
    <w:rsid w:val="00C56111"/>
    <w:rsid w:val="00C63269"/>
    <w:rsid w:val="00C665C4"/>
    <w:rsid w:val="00C6690F"/>
    <w:rsid w:val="00C66D50"/>
    <w:rsid w:val="00C67C3C"/>
    <w:rsid w:val="00C704D3"/>
    <w:rsid w:val="00C75147"/>
    <w:rsid w:val="00C82A40"/>
    <w:rsid w:val="00C836EE"/>
    <w:rsid w:val="00C83A3D"/>
    <w:rsid w:val="00C83CAD"/>
    <w:rsid w:val="00C83F6A"/>
    <w:rsid w:val="00C848FE"/>
    <w:rsid w:val="00C925F1"/>
    <w:rsid w:val="00C931E7"/>
    <w:rsid w:val="00C945BF"/>
    <w:rsid w:val="00C9581B"/>
    <w:rsid w:val="00C96ECD"/>
    <w:rsid w:val="00C97FA5"/>
    <w:rsid w:val="00CA473B"/>
    <w:rsid w:val="00CA59A7"/>
    <w:rsid w:val="00CB0E0E"/>
    <w:rsid w:val="00CB139D"/>
    <w:rsid w:val="00CB1E95"/>
    <w:rsid w:val="00CB276F"/>
    <w:rsid w:val="00CB3BEE"/>
    <w:rsid w:val="00CB716E"/>
    <w:rsid w:val="00CC0801"/>
    <w:rsid w:val="00CC14E6"/>
    <w:rsid w:val="00CC5DF2"/>
    <w:rsid w:val="00CC7EA3"/>
    <w:rsid w:val="00CD5CFF"/>
    <w:rsid w:val="00CE0810"/>
    <w:rsid w:val="00CE59D0"/>
    <w:rsid w:val="00CF296D"/>
    <w:rsid w:val="00CF2CEA"/>
    <w:rsid w:val="00CF2E7F"/>
    <w:rsid w:val="00CF47EE"/>
    <w:rsid w:val="00CF52CD"/>
    <w:rsid w:val="00CF6C70"/>
    <w:rsid w:val="00D014E5"/>
    <w:rsid w:val="00D04B5D"/>
    <w:rsid w:val="00D31781"/>
    <w:rsid w:val="00D337E8"/>
    <w:rsid w:val="00D43448"/>
    <w:rsid w:val="00D44BBD"/>
    <w:rsid w:val="00D51157"/>
    <w:rsid w:val="00D555D4"/>
    <w:rsid w:val="00D611FC"/>
    <w:rsid w:val="00D65767"/>
    <w:rsid w:val="00D65A0B"/>
    <w:rsid w:val="00D71835"/>
    <w:rsid w:val="00D71DC8"/>
    <w:rsid w:val="00D77EDB"/>
    <w:rsid w:val="00D812FC"/>
    <w:rsid w:val="00D85222"/>
    <w:rsid w:val="00D87298"/>
    <w:rsid w:val="00D87458"/>
    <w:rsid w:val="00D914B7"/>
    <w:rsid w:val="00D92443"/>
    <w:rsid w:val="00D92F61"/>
    <w:rsid w:val="00D95D2C"/>
    <w:rsid w:val="00DA0BA6"/>
    <w:rsid w:val="00DA2A34"/>
    <w:rsid w:val="00DA2F41"/>
    <w:rsid w:val="00DA394D"/>
    <w:rsid w:val="00DB6120"/>
    <w:rsid w:val="00DC0C2A"/>
    <w:rsid w:val="00DC1AD8"/>
    <w:rsid w:val="00DC4EEC"/>
    <w:rsid w:val="00DC5A8E"/>
    <w:rsid w:val="00DC5E32"/>
    <w:rsid w:val="00DD09C5"/>
    <w:rsid w:val="00DD0E30"/>
    <w:rsid w:val="00DD4276"/>
    <w:rsid w:val="00DE3853"/>
    <w:rsid w:val="00DE456C"/>
    <w:rsid w:val="00DE4F2C"/>
    <w:rsid w:val="00DF317D"/>
    <w:rsid w:val="00DF3188"/>
    <w:rsid w:val="00DF4D8A"/>
    <w:rsid w:val="00DF61AF"/>
    <w:rsid w:val="00E03773"/>
    <w:rsid w:val="00E05BF2"/>
    <w:rsid w:val="00E05C77"/>
    <w:rsid w:val="00E05DC0"/>
    <w:rsid w:val="00E06DD7"/>
    <w:rsid w:val="00E07048"/>
    <w:rsid w:val="00E174D7"/>
    <w:rsid w:val="00E20565"/>
    <w:rsid w:val="00E209B7"/>
    <w:rsid w:val="00E21BAB"/>
    <w:rsid w:val="00E2289A"/>
    <w:rsid w:val="00E229C6"/>
    <w:rsid w:val="00E23EB9"/>
    <w:rsid w:val="00E2568A"/>
    <w:rsid w:val="00E313B6"/>
    <w:rsid w:val="00E33AE3"/>
    <w:rsid w:val="00E367E5"/>
    <w:rsid w:val="00E556A4"/>
    <w:rsid w:val="00E641C8"/>
    <w:rsid w:val="00E66120"/>
    <w:rsid w:val="00E66F81"/>
    <w:rsid w:val="00E84086"/>
    <w:rsid w:val="00E8442B"/>
    <w:rsid w:val="00E8689F"/>
    <w:rsid w:val="00E87F28"/>
    <w:rsid w:val="00E925FF"/>
    <w:rsid w:val="00E92CF8"/>
    <w:rsid w:val="00E97331"/>
    <w:rsid w:val="00EA1D15"/>
    <w:rsid w:val="00EA20CC"/>
    <w:rsid w:val="00EA318F"/>
    <w:rsid w:val="00EA465B"/>
    <w:rsid w:val="00EA629E"/>
    <w:rsid w:val="00EA72AD"/>
    <w:rsid w:val="00EB2667"/>
    <w:rsid w:val="00EB6672"/>
    <w:rsid w:val="00EB6A75"/>
    <w:rsid w:val="00EC35D1"/>
    <w:rsid w:val="00EC4AEA"/>
    <w:rsid w:val="00EC5460"/>
    <w:rsid w:val="00ED22D7"/>
    <w:rsid w:val="00EE03D3"/>
    <w:rsid w:val="00EE6CE7"/>
    <w:rsid w:val="00EF5EFA"/>
    <w:rsid w:val="00EF6EB6"/>
    <w:rsid w:val="00F02517"/>
    <w:rsid w:val="00F030AB"/>
    <w:rsid w:val="00F075D4"/>
    <w:rsid w:val="00F16FE7"/>
    <w:rsid w:val="00F22787"/>
    <w:rsid w:val="00F26CC3"/>
    <w:rsid w:val="00F30E53"/>
    <w:rsid w:val="00F3161B"/>
    <w:rsid w:val="00F376CB"/>
    <w:rsid w:val="00F40661"/>
    <w:rsid w:val="00F43248"/>
    <w:rsid w:val="00F44D41"/>
    <w:rsid w:val="00F45776"/>
    <w:rsid w:val="00F51A86"/>
    <w:rsid w:val="00F531F8"/>
    <w:rsid w:val="00F57629"/>
    <w:rsid w:val="00F64D58"/>
    <w:rsid w:val="00F74859"/>
    <w:rsid w:val="00F85AE0"/>
    <w:rsid w:val="00F87F30"/>
    <w:rsid w:val="00F96253"/>
    <w:rsid w:val="00FA6EE4"/>
    <w:rsid w:val="00FB280A"/>
    <w:rsid w:val="00FB2B1E"/>
    <w:rsid w:val="00FB6F94"/>
    <w:rsid w:val="00FB7462"/>
    <w:rsid w:val="00FC2C3E"/>
    <w:rsid w:val="00FC51D2"/>
    <w:rsid w:val="00FC6F03"/>
    <w:rsid w:val="00FD2A6D"/>
    <w:rsid w:val="00FD4C49"/>
    <w:rsid w:val="00FD553B"/>
    <w:rsid w:val="00FE02F9"/>
    <w:rsid w:val="00FE3449"/>
    <w:rsid w:val="00FE70CA"/>
    <w:rsid w:val="00FF0D4F"/>
    <w:rsid w:val="00FF4838"/>
    <w:rsid w:val="00FF6E2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BE0EB"/>
  <w15:chartTrackingRefBased/>
  <w15:docId w15:val="{F169F77D-6CF6-954D-8ACB-887F88603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BC23F2"/>
    <w:rPr>
      <w:color w:val="605E5C"/>
      <w:shd w:val="clear" w:color="auto" w:fill="E1DFDD"/>
    </w:rPr>
  </w:style>
  <w:style w:type="character" w:styleId="FollowedHyperlink">
    <w:name w:val="FollowedHyperlink"/>
    <w:basedOn w:val="DefaultParagraphFont"/>
    <w:uiPriority w:val="99"/>
    <w:semiHidden/>
    <w:unhideWhenUsed/>
    <w:rsid w:val="0059143B"/>
    <w:rPr>
      <w:color w:val="919191" w:themeColor="followedHyperlink"/>
      <w:u w:val="single"/>
    </w:rPr>
  </w:style>
  <w:style w:type="character" w:customStyle="1" w:styleId="apple-converted-space">
    <w:name w:val="apple-converted-space"/>
    <w:basedOn w:val="DefaultParagraphFont"/>
    <w:rsid w:val="00370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6883851">
      <w:bodyDiv w:val="1"/>
      <w:marLeft w:val="0"/>
      <w:marRight w:val="0"/>
      <w:marTop w:val="0"/>
      <w:marBottom w:val="0"/>
      <w:divBdr>
        <w:top w:val="none" w:sz="0" w:space="0" w:color="auto"/>
        <w:left w:val="none" w:sz="0" w:space="0" w:color="auto"/>
        <w:bottom w:val="none" w:sz="0" w:space="0" w:color="auto"/>
        <w:right w:val="none" w:sz="0" w:space="0" w:color="auto"/>
      </w:divBdr>
      <w:divsChild>
        <w:div w:id="641543575">
          <w:marLeft w:val="0"/>
          <w:marRight w:val="0"/>
          <w:marTop w:val="0"/>
          <w:marBottom w:val="0"/>
          <w:divBdr>
            <w:top w:val="none" w:sz="0" w:space="0" w:color="auto"/>
            <w:left w:val="none" w:sz="0" w:space="0" w:color="auto"/>
            <w:bottom w:val="none" w:sz="0" w:space="0" w:color="auto"/>
            <w:right w:val="none" w:sz="0" w:space="0" w:color="auto"/>
          </w:divBdr>
          <w:divsChild>
            <w:div w:id="736320533">
              <w:marLeft w:val="0"/>
              <w:marRight w:val="0"/>
              <w:marTop w:val="0"/>
              <w:marBottom w:val="0"/>
              <w:divBdr>
                <w:top w:val="none" w:sz="0" w:space="0" w:color="auto"/>
                <w:left w:val="none" w:sz="0" w:space="0" w:color="auto"/>
                <w:bottom w:val="none" w:sz="0" w:space="0" w:color="auto"/>
                <w:right w:val="none" w:sz="0" w:space="0" w:color="auto"/>
              </w:divBdr>
              <w:divsChild>
                <w:div w:id="17905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476912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66919019">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6763700">
      <w:bodyDiv w:val="1"/>
      <w:marLeft w:val="0"/>
      <w:marRight w:val="0"/>
      <w:marTop w:val="0"/>
      <w:marBottom w:val="0"/>
      <w:divBdr>
        <w:top w:val="none" w:sz="0" w:space="0" w:color="auto"/>
        <w:left w:val="none" w:sz="0" w:space="0" w:color="auto"/>
        <w:bottom w:val="none" w:sz="0" w:space="0" w:color="auto"/>
        <w:right w:val="none" w:sz="0" w:space="0" w:color="auto"/>
      </w:divBdr>
      <w:divsChild>
        <w:div w:id="1980648478">
          <w:marLeft w:val="0"/>
          <w:marRight w:val="0"/>
          <w:marTop w:val="0"/>
          <w:marBottom w:val="0"/>
          <w:divBdr>
            <w:top w:val="none" w:sz="0" w:space="0" w:color="auto"/>
            <w:left w:val="none" w:sz="0" w:space="0" w:color="auto"/>
            <w:bottom w:val="none" w:sz="0" w:space="0" w:color="auto"/>
            <w:right w:val="none" w:sz="0" w:space="0" w:color="auto"/>
          </w:divBdr>
          <w:divsChild>
            <w:div w:id="773522055">
              <w:marLeft w:val="0"/>
              <w:marRight w:val="0"/>
              <w:marTop w:val="0"/>
              <w:marBottom w:val="0"/>
              <w:divBdr>
                <w:top w:val="none" w:sz="0" w:space="0" w:color="auto"/>
                <w:left w:val="none" w:sz="0" w:space="0" w:color="auto"/>
                <w:bottom w:val="none" w:sz="0" w:space="0" w:color="auto"/>
                <w:right w:val="none" w:sz="0" w:space="0" w:color="auto"/>
              </w:divBdr>
              <w:divsChild>
                <w:div w:id="19303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71437096">
      <w:bodyDiv w:val="1"/>
      <w:marLeft w:val="0"/>
      <w:marRight w:val="0"/>
      <w:marTop w:val="0"/>
      <w:marBottom w:val="0"/>
      <w:divBdr>
        <w:top w:val="none" w:sz="0" w:space="0" w:color="auto"/>
        <w:left w:val="none" w:sz="0" w:space="0" w:color="auto"/>
        <w:bottom w:val="none" w:sz="0" w:space="0" w:color="auto"/>
        <w:right w:val="none" w:sz="0" w:space="0" w:color="auto"/>
      </w:divBdr>
    </w:div>
    <w:div w:id="813059992">
      <w:bodyDiv w:val="1"/>
      <w:marLeft w:val="0"/>
      <w:marRight w:val="0"/>
      <w:marTop w:val="0"/>
      <w:marBottom w:val="0"/>
      <w:divBdr>
        <w:top w:val="none" w:sz="0" w:space="0" w:color="auto"/>
        <w:left w:val="none" w:sz="0" w:space="0" w:color="auto"/>
        <w:bottom w:val="none" w:sz="0" w:space="0" w:color="auto"/>
        <w:right w:val="none" w:sz="0" w:space="0" w:color="auto"/>
      </w:divBdr>
      <w:divsChild>
        <w:div w:id="74670932">
          <w:marLeft w:val="0"/>
          <w:marRight w:val="0"/>
          <w:marTop w:val="0"/>
          <w:marBottom w:val="0"/>
          <w:divBdr>
            <w:top w:val="none" w:sz="0" w:space="0" w:color="auto"/>
            <w:left w:val="none" w:sz="0" w:space="0" w:color="auto"/>
            <w:bottom w:val="none" w:sz="0" w:space="0" w:color="auto"/>
            <w:right w:val="none" w:sz="0" w:space="0" w:color="auto"/>
          </w:divBdr>
          <w:divsChild>
            <w:div w:id="458955671">
              <w:marLeft w:val="0"/>
              <w:marRight w:val="0"/>
              <w:marTop w:val="0"/>
              <w:marBottom w:val="0"/>
              <w:divBdr>
                <w:top w:val="none" w:sz="0" w:space="0" w:color="auto"/>
                <w:left w:val="none" w:sz="0" w:space="0" w:color="auto"/>
                <w:bottom w:val="none" w:sz="0" w:space="0" w:color="auto"/>
                <w:right w:val="none" w:sz="0" w:space="0" w:color="auto"/>
              </w:divBdr>
              <w:divsChild>
                <w:div w:id="4162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02812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713109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552806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2406689">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0150907">
      <w:bodyDiv w:val="1"/>
      <w:marLeft w:val="0"/>
      <w:marRight w:val="0"/>
      <w:marTop w:val="0"/>
      <w:marBottom w:val="0"/>
      <w:divBdr>
        <w:top w:val="none" w:sz="0" w:space="0" w:color="auto"/>
        <w:left w:val="none" w:sz="0" w:space="0" w:color="auto"/>
        <w:bottom w:val="none" w:sz="0" w:space="0" w:color="auto"/>
        <w:right w:val="none" w:sz="0" w:space="0" w:color="auto"/>
      </w:divBdr>
    </w:div>
    <w:div w:id="194310177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624658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ed.stlouisfed.org/"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hyperlink" Target="https://sdw.ecb.europa.eu/"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tricarico672/Capstone_Text_Analysi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76B93AED2E9F468F2F554B81B8AFB8"/>
        <w:category>
          <w:name w:val="General"/>
          <w:gallery w:val="placeholder"/>
        </w:category>
        <w:types>
          <w:type w:val="bbPlcHdr"/>
        </w:types>
        <w:behaviors>
          <w:behavior w:val="content"/>
        </w:behaviors>
        <w:guid w:val="{C8A7D42D-CA45-084D-B082-24BCC782352E}"/>
      </w:docPartPr>
      <w:docPartBody>
        <w:p w:rsidR="0065744E" w:rsidRDefault="00372ADF">
          <w:pPr>
            <w:pStyle w:val="ED76B93AED2E9F468F2F554B81B8AFB8"/>
          </w:pPr>
          <w:r>
            <w:rPr>
              <w:lang w:val="en-GB" w:bidi="en-GB"/>
            </w:rPr>
            <w:t>[Title here, up to 12 words, on one to two lines]</w:t>
          </w:r>
        </w:p>
      </w:docPartBody>
    </w:docPart>
    <w:docPart>
      <w:docPartPr>
        <w:name w:val="710855B274AA434FB497A40BE4AF1E3E"/>
        <w:category>
          <w:name w:val="General"/>
          <w:gallery w:val="placeholder"/>
        </w:category>
        <w:types>
          <w:type w:val="bbPlcHdr"/>
        </w:types>
        <w:behaviors>
          <w:behavior w:val="content"/>
        </w:behaviors>
        <w:guid w:val="{11A61485-106B-E543-97A9-77319874675F}"/>
      </w:docPartPr>
      <w:docPartBody>
        <w:p w:rsidR="0065744E" w:rsidRDefault="00372ADF">
          <w:pPr>
            <w:pStyle w:val="710855B274AA434FB497A40BE4AF1E3E"/>
          </w:pPr>
          <w:r>
            <w:rPr>
              <w:lang w:val="en-GB" w:bidi="en-GB"/>
            </w:rPr>
            <w:t>[Title here, up to 12 words, on one to two lines]</w:t>
          </w:r>
        </w:p>
      </w:docPartBody>
    </w:docPart>
    <w:docPart>
      <w:docPartPr>
        <w:name w:val="F23A6838F5B1DE4AA7327465E289EF05"/>
        <w:category>
          <w:name w:val="General"/>
          <w:gallery w:val="placeholder"/>
        </w:category>
        <w:types>
          <w:type w:val="bbPlcHdr"/>
        </w:types>
        <w:behaviors>
          <w:behavior w:val="content"/>
        </w:behaviors>
        <w:guid w:val="{71FFD79F-0021-7746-95D3-4CA35325E044}"/>
      </w:docPartPr>
      <w:docPartBody>
        <w:p w:rsidR="0065744E" w:rsidRDefault="00372ADF">
          <w:pPr>
            <w:pStyle w:val="F23A6838F5B1DE4AA7327465E289EF05"/>
          </w:pPr>
          <w:r>
            <w:rPr>
              <w:lang w:val="en-GB" w:bidi="en-GB"/>
            </w:rPr>
            <w:t>[Place all tables for your paper in a tables section, following the references (and, if applicable, the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1.5-line spacing.  Include a heading for every row and column, even if the content seems obvious.  To insert a table, on the Insert tab, tap Table.  New tables that you create in this document use APA format by default.]</w:t>
          </w:r>
        </w:p>
      </w:docPartBody>
    </w:docPart>
    <w:docPart>
      <w:docPartPr>
        <w:name w:val="611691286B1AFE4E9E1EFB92BCFE0BF0"/>
        <w:category>
          <w:name w:val="General"/>
          <w:gallery w:val="placeholder"/>
        </w:category>
        <w:types>
          <w:type w:val="bbPlcHdr"/>
        </w:types>
        <w:behaviors>
          <w:behavior w:val="content"/>
        </w:behaviors>
        <w:guid w:val="{6C2E4D26-672C-574F-BC55-7E085F4A97DD}"/>
      </w:docPartPr>
      <w:docPartBody>
        <w:p w:rsidR="0065744E" w:rsidRDefault="00372ADF">
          <w:pPr>
            <w:pStyle w:val="611691286B1AFE4E9E1EFB92BCFE0BF0"/>
          </w:pPr>
          <w:r>
            <w:rPr>
              <w:lang w:val="en-GB" w:bidi="en-GB"/>
            </w:rP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FE"/>
    <w:rsid w:val="002458B4"/>
    <w:rsid w:val="0031029A"/>
    <w:rsid w:val="00372ADF"/>
    <w:rsid w:val="0043719B"/>
    <w:rsid w:val="004E05CF"/>
    <w:rsid w:val="00562353"/>
    <w:rsid w:val="00596245"/>
    <w:rsid w:val="005E1DFE"/>
    <w:rsid w:val="0065744E"/>
    <w:rsid w:val="00713DC5"/>
    <w:rsid w:val="00831AE7"/>
    <w:rsid w:val="008C58FB"/>
    <w:rsid w:val="00A33944"/>
    <w:rsid w:val="00A56862"/>
    <w:rsid w:val="00A95CFA"/>
    <w:rsid w:val="00B71570"/>
    <w:rsid w:val="00CB23D2"/>
    <w:rsid w:val="00FF0852"/>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76B93AED2E9F468F2F554B81B8AFB8">
    <w:name w:val="ED76B93AED2E9F468F2F554B81B8AFB8"/>
  </w:style>
  <w:style w:type="character" w:styleId="Emphasis">
    <w:name w:val="Emphasis"/>
    <w:basedOn w:val="DefaultParagraphFont"/>
    <w:uiPriority w:val="20"/>
    <w:unhideWhenUsed/>
    <w:qFormat/>
    <w:rPr>
      <w:i/>
      <w:iCs/>
    </w:rPr>
  </w:style>
  <w:style w:type="paragraph" w:customStyle="1" w:styleId="710855B274AA434FB497A40BE4AF1E3E">
    <w:name w:val="710855B274AA434FB497A40BE4AF1E3E"/>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styleId="Bibliography">
    <w:name w:val="Bibliography"/>
    <w:basedOn w:val="Normal"/>
    <w:next w:val="Normal"/>
    <w:uiPriority w:val="37"/>
    <w:semiHidden/>
    <w:unhideWhenUsed/>
  </w:style>
  <w:style w:type="paragraph" w:customStyle="1" w:styleId="F23A6838F5B1DE4AA7327465E289EF05">
    <w:name w:val="F23A6838F5B1DE4AA7327465E289EF05"/>
  </w:style>
  <w:style w:type="paragraph" w:customStyle="1" w:styleId="611691286B1AFE4E9E1EFB92BCFE0BF0">
    <w:name w:val="611691286B1AFE4E9E1EFB92BCFE0BF0"/>
  </w:style>
  <w:style w:type="character" w:styleId="PlaceholderText">
    <w:name w:val="Placeholder Text"/>
    <w:basedOn w:val="DefaultParagraphFont"/>
    <w:uiPriority w:val="99"/>
    <w:semiHidden/>
    <w:rsid w:val="00A568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Monetary policies and equity market volatility</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70FF4B-55C5-4A32-ACB1-CF2279EE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5175</Words>
  <Characters>29503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The Importance of Monetary Policies on Equity Markets: How the Surprise Component influences Volatility</vt:lpstr>
    </vt:vector>
  </TitlesOfParts>
  <Company/>
  <LinksUpToDate>false</LinksUpToDate>
  <CharactersWithSpaces>34609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Markets: The Impact of ECB’s Statements on Equity Market’s Volatility</dc:title>
  <dc:subject/>
  <dc:creator>Anthony Tricarico</dc:creator>
  <cp:keywords/>
  <dc:description/>
  <cp:lastModifiedBy>Anthony Tricarico</cp:lastModifiedBy>
  <cp:revision>2</cp:revision>
  <dcterms:created xsi:type="dcterms:W3CDTF">2023-04-28T11:17:00Z</dcterms:created>
  <dcterms:modified xsi:type="dcterms:W3CDTF">2023-04-28T11:17:00Z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