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A5B4" w14:textId="1ACE8323" w:rsidR="00DF494E" w:rsidRDefault="000D236D"/>
    <w:p w14:paraId="7F898A63" w14:textId="31CF5932" w:rsidR="00CC2624" w:rsidRDefault="00BD29B6" w:rsidP="00BD29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English 2767: </w:t>
      </w:r>
      <w:r w:rsidR="00CC2624" w:rsidRPr="00CC2624">
        <w:rPr>
          <w:b/>
          <w:bCs/>
          <w:sz w:val="32"/>
          <w:szCs w:val="32"/>
        </w:rPr>
        <w:t>WP3 Research Worksheet</w:t>
      </w:r>
    </w:p>
    <w:p w14:paraId="3555035B" w14:textId="651EB5E2" w:rsidR="00BD29B6" w:rsidRDefault="00BD29B6">
      <w:r>
        <w:t>Gage Farmer – 3/30/2022</w:t>
      </w:r>
    </w:p>
    <w:p w14:paraId="28FE4995" w14:textId="174E63BD" w:rsidR="003C00BD" w:rsidRPr="003C00BD" w:rsidRDefault="000D236D">
      <w:hyperlink r:id="rId4" w:history="1">
        <w:r w:rsidR="003C00BD" w:rsidRPr="003C00BD">
          <w:rPr>
            <w:rStyle w:val="Hyperlink"/>
          </w:rPr>
          <w:t>Link</w:t>
        </w:r>
      </w:hyperlink>
    </w:p>
    <w:p w14:paraId="694BA653" w14:textId="1638BFEE" w:rsidR="00CC2624" w:rsidRDefault="00CC2624"/>
    <w:p w14:paraId="1A27D804" w14:textId="4CB3D3C1" w:rsidR="00CC2624" w:rsidRDefault="00CC2624">
      <w:r>
        <w:rPr>
          <w:b/>
          <w:bCs/>
        </w:rPr>
        <w:t>Resource #1:</w:t>
      </w:r>
    </w:p>
    <w:p w14:paraId="29CF811C" w14:textId="71426B04" w:rsidR="00CC2624" w:rsidRPr="00BD29B6" w:rsidRDefault="00CC2624">
      <w:pPr>
        <w:rPr>
          <w:u w:val="single"/>
        </w:rPr>
      </w:pPr>
      <w:r w:rsidRPr="00BD29B6">
        <w:rPr>
          <w:u w:val="single"/>
        </w:rPr>
        <w:t>Database/Source:</w:t>
      </w:r>
    </w:p>
    <w:p w14:paraId="1C10718A" w14:textId="6AF84D40" w:rsidR="00CC2624" w:rsidRDefault="00BD29B6">
      <w:r>
        <w:t>TEM Journal</w:t>
      </w:r>
    </w:p>
    <w:p w14:paraId="690E052A" w14:textId="3A2FD057" w:rsidR="00CC2624" w:rsidRPr="00BD29B6" w:rsidRDefault="00CC2624">
      <w:pPr>
        <w:rPr>
          <w:u w:val="single"/>
        </w:rPr>
      </w:pPr>
      <w:r w:rsidRPr="00BD29B6">
        <w:rPr>
          <w:u w:val="single"/>
        </w:rPr>
        <w:t>APA Works Cited Entry:</w:t>
      </w:r>
    </w:p>
    <w:p w14:paraId="57587E15" w14:textId="213BA53F" w:rsidR="00CC2624" w:rsidRDefault="00BD29B6">
      <w:r>
        <w:t xml:space="preserve">Ramadhani, R., Sihotang, S. F., Bina, N. S., Rusmini, Harahap, F. S. W., &amp; Fitri, Y. (2021). Undergraduate Students’ Difficulties in Following Distance Learning in Mathematics Based on E-Learning During the Covid-19 Pandemic. </w:t>
      </w:r>
      <w:r>
        <w:rPr>
          <w:i/>
          <w:iCs/>
        </w:rPr>
        <w:t>TEM Journal</w:t>
      </w:r>
      <w:r>
        <w:t xml:space="preserve">, </w:t>
      </w:r>
      <w:r>
        <w:rPr>
          <w:i/>
          <w:iCs/>
        </w:rPr>
        <w:t>10</w:t>
      </w:r>
      <w:r>
        <w:t>(3), 1239–1247. https://doi.org/10.18421/TEM103-30</w:t>
      </w:r>
    </w:p>
    <w:p w14:paraId="4B0D833F" w14:textId="6070D489" w:rsidR="00CC2624" w:rsidRDefault="00CC2624"/>
    <w:p w14:paraId="20794D29" w14:textId="0F7FE8F5" w:rsidR="00CC2624" w:rsidRDefault="00CC2624" w:rsidP="00CC2624">
      <w:r>
        <w:rPr>
          <w:b/>
          <w:bCs/>
        </w:rPr>
        <w:t>Resource #2:</w:t>
      </w:r>
    </w:p>
    <w:p w14:paraId="6891D08B" w14:textId="23E53A21" w:rsidR="00CC2624" w:rsidRPr="00BD29B6" w:rsidRDefault="00CC2624" w:rsidP="00CC2624">
      <w:pPr>
        <w:rPr>
          <w:u w:val="single"/>
        </w:rPr>
      </w:pPr>
      <w:r w:rsidRPr="00BD29B6">
        <w:rPr>
          <w:u w:val="single"/>
        </w:rPr>
        <w:t>Database/Source:</w:t>
      </w:r>
      <w:r w:rsidR="00BD29B6" w:rsidRPr="00BD29B6">
        <w:rPr>
          <w:u w:val="single"/>
        </w:rPr>
        <w:t xml:space="preserve"> </w:t>
      </w:r>
    </w:p>
    <w:p w14:paraId="3CFA5C9B" w14:textId="41FDFAE4" w:rsidR="00CC2624" w:rsidRDefault="00BD29B6" w:rsidP="00CC2624">
      <w:r>
        <w:t>PLoS ONE</w:t>
      </w:r>
    </w:p>
    <w:p w14:paraId="6BBF86AA" w14:textId="77777777" w:rsidR="00CC2624" w:rsidRPr="00BD29B6" w:rsidRDefault="00CC2624" w:rsidP="00CC2624">
      <w:pPr>
        <w:rPr>
          <w:u w:val="single"/>
        </w:rPr>
      </w:pPr>
      <w:r w:rsidRPr="00BD29B6">
        <w:rPr>
          <w:u w:val="single"/>
        </w:rPr>
        <w:t>APA Works Cited Entry:</w:t>
      </w:r>
    </w:p>
    <w:p w14:paraId="63968500" w14:textId="5DF1E4D9" w:rsidR="00CC2624" w:rsidRDefault="00BD29B6" w:rsidP="00BD29B6">
      <w:r>
        <w:t xml:space="preserve">Cibrian, F. L., Monteiro, E., Ankrah, E., Beltran, J. A., Tavakoulnia, A., Schuck, S. E. B., Hayes, G. R., &amp; Lakes, K. D. (2021). Parents’ perspectives on a smartwatch intervention for children with ADHD: Rapid deployment and feasibility evaluation of a pilot intervention to support distance learning during COVID-19. </w:t>
      </w:r>
      <w:r>
        <w:rPr>
          <w:i/>
          <w:iCs/>
        </w:rPr>
        <w:t>PLoS ONE</w:t>
      </w:r>
      <w:r>
        <w:t xml:space="preserve">, </w:t>
      </w:r>
      <w:r>
        <w:rPr>
          <w:i/>
          <w:iCs/>
        </w:rPr>
        <w:t>16</w:t>
      </w:r>
      <w:r>
        <w:t>(10), 1–23. https://doi.org/10.1371/journal.pone.0258959</w:t>
      </w:r>
    </w:p>
    <w:p w14:paraId="25143546" w14:textId="134C8DDB" w:rsidR="00CC2624" w:rsidRDefault="00CC2624"/>
    <w:p w14:paraId="1DA28D40" w14:textId="06B72580" w:rsidR="00CC2624" w:rsidRDefault="00CC2624" w:rsidP="00CC2624">
      <w:r>
        <w:rPr>
          <w:b/>
          <w:bCs/>
        </w:rPr>
        <w:t>Resource #3:</w:t>
      </w:r>
    </w:p>
    <w:p w14:paraId="001190EB" w14:textId="77777777" w:rsidR="00CC2624" w:rsidRPr="00BD29B6" w:rsidRDefault="00CC2624" w:rsidP="00CC2624">
      <w:pPr>
        <w:rPr>
          <w:u w:val="single"/>
        </w:rPr>
      </w:pPr>
      <w:r w:rsidRPr="00BD29B6">
        <w:rPr>
          <w:u w:val="single"/>
        </w:rPr>
        <w:t>Database/Source:</w:t>
      </w:r>
    </w:p>
    <w:p w14:paraId="3CF1317B" w14:textId="536E7E73" w:rsidR="00CC2624" w:rsidRDefault="00BD29B6" w:rsidP="00CC2624">
      <w:r>
        <w:t>Journal of Educational Technology &amp; Society</w:t>
      </w:r>
    </w:p>
    <w:p w14:paraId="0C0418AD" w14:textId="77777777" w:rsidR="00CC2624" w:rsidRPr="00BD29B6" w:rsidRDefault="00CC2624" w:rsidP="00CC2624">
      <w:pPr>
        <w:rPr>
          <w:u w:val="single"/>
        </w:rPr>
      </w:pPr>
      <w:r w:rsidRPr="00BD29B6">
        <w:rPr>
          <w:u w:val="single"/>
        </w:rPr>
        <w:t>APA Works Cited Entry:</w:t>
      </w:r>
    </w:p>
    <w:p w14:paraId="7AEAD2B6" w14:textId="4F0EE632" w:rsidR="00CC2624" w:rsidRDefault="00BD29B6">
      <w:r>
        <w:t xml:space="preserve">Jon-Chao Hong, Xiaohong Liu, Wei Cao, Kai-Hsin Tai, &amp; Li Zhao. (2022). Effects of Self-Efficacy and Online Learning Mind States on Learning Ineffectiveness during the COVID-19 Lockdown. </w:t>
      </w:r>
      <w:r>
        <w:rPr>
          <w:i/>
          <w:iCs/>
        </w:rPr>
        <w:t>Journal of Educational Technology &amp; Society</w:t>
      </w:r>
      <w:r>
        <w:t xml:space="preserve">, </w:t>
      </w:r>
      <w:r>
        <w:rPr>
          <w:i/>
          <w:iCs/>
        </w:rPr>
        <w:t>25</w:t>
      </w:r>
      <w:r>
        <w:t>(1), 142–154.</w:t>
      </w:r>
    </w:p>
    <w:p w14:paraId="09A1DCA4" w14:textId="219A3634" w:rsidR="00D328A3" w:rsidRDefault="00D328A3"/>
    <w:p w14:paraId="341E2C54" w14:textId="3FB90804" w:rsidR="00D328A3" w:rsidRDefault="00D328A3">
      <w:pPr>
        <w:rPr>
          <w:b/>
          <w:bCs/>
        </w:rPr>
      </w:pPr>
      <w:r>
        <w:rPr>
          <w:b/>
          <w:bCs/>
        </w:rPr>
        <w:t>Resource #4</w:t>
      </w:r>
    </w:p>
    <w:p w14:paraId="38755FCA" w14:textId="269644BF" w:rsidR="00D328A3" w:rsidRPr="00D328A3" w:rsidRDefault="00D328A3">
      <w:r>
        <w:lastRenderedPageBreak/>
        <w:t xml:space="preserve">Đurić-Zdravković, A., Japundža-Milisavljević, M., &amp; Roknić, A. (2021). SOCIAL COMPETENCE AND ANTISOCIAL BEHAVIOR IN STUDENTS WITH ADHD BEFORE BEGINNING AND AFTER THE END OF ONLINE CLASSES DURING COVID-19 PANDEMICa. </w:t>
      </w:r>
      <w:r>
        <w:rPr>
          <w:i/>
          <w:iCs/>
        </w:rPr>
        <w:t>TEME: Casopis Za Društvene Nauke</w:t>
      </w:r>
      <w:r>
        <w:t xml:space="preserve">, </w:t>
      </w:r>
      <w:r>
        <w:rPr>
          <w:i/>
          <w:iCs/>
        </w:rPr>
        <w:t>45</w:t>
      </w:r>
      <w:r>
        <w:t>(4), 1229–1243. https://doi.org/10.22190/TEME210830073D</w:t>
      </w:r>
    </w:p>
    <w:p w14:paraId="3E9F17DB" w14:textId="28064E3B" w:rsidR="00CC2624" w:rsidRDefault="00CC2624"/>
    <w:p w14:paraId="14F3F584" w14:textId="2B45F4F1" w:rsidR="00D73963" w:rsidRDefault="00D73963">
      <w:pPr>
        <w:rPr>
          <w:b/>
          <w:bCs/>
        </w:rPr>
      </w:pPr>
      <w:r>
        <w:rPr>
          <w:b/>
          <w:bCs/>
        </w:rPr>
        <w:t>Resource #5</w:t>
      </w:r>
    </w:p>
    <w:p w14:paraId="35D278EC" w14:textId="6675D87D" w:rsidR="00D73963" w:rsidRDefault="00D73963">
      <w:pPr>
        <w:rPr>
          <w:b/>
          <w:bCs/>
        </w:rPr>
      </w:pPr>
    </w:p>
    <w:p w14:paraId="0F9029D2" w14:textId="77777777" w:rsidR="00D73963" w:rsidRDefault="00D73963" w:rsidP="00D73963">
      <w:pPr>
        <w:pStyle w:val="NormalWeb"/>
        <w:ind w:left="567" w:hanging="567"/>
      </w:pPr>
      <w:r>
        <w:t xml:space="preserve">Nadeau, K. G. (2006). </w:t>
      </w:r>
      <w:r>
        <w:rPr>
          <w:i/>
          <w:iCs/>
        </w:rPr>
        <w:t>Survival guide for college students with Adhd or Ld</w:t>
      </w:r>
      <w:r>
        <w:t xml:space="preserve">. Magination Press. </w:t>
      </w:r>
    </w:p>
    <w:p w14:paraId="51FF1CAF" w14:textId="38D002D5" w:rsidR="00D73963" w:rsidRDefault="00D73963"/>
    <w:p w14:paraId="1F097854" w14:textId="29243CC4" w:rsidR="000D236D" w:rsidRDefault="000D236D">
      <w:pPr>
        <w:rPr>
          <w:b/>
          <w:bCs/>
        </w:rPr>
      </w:pPr>
      <w:r>
        <w:rPr>
          <w:b/>
          <w:bCs/>
        </w:rPr>
        <w:t>Resource #6</w:t>
      </w:r>
    </w:p>
    <w:p w14:paraId="6E3BF933" w14:textId="0DD41D1B" w:rsidR="000D236D" w:rsidRDefault="000D236D">
      <w:pPr>
        <w:rPr>
          <w:b/>
          <w:bCs/>
        </w:rPr>
      </w:pPr>
    </w:p>
    <w:p w14:paraId="1D6D46CA" w14:textId="12F3BD8C" w:rsidR="000D236D" w:rsidRPr="000D236D" w:rsidRDefault="000D236D" w:rsidP="000D236D">
      <w:r>
        <w:t>Samuele Cortese, Philip Asherson, Edmund Sonuga-Barke, Tobias Banaschewski, Daniel Brandeis, Jan Buitelaar, David Coghill, David Daley, Marina Danckaerts, Ralf W Dittmann, Manfred Doepfner, Maite Ferrin, Chris Hollis, Martin Holtmann, Eric Konofal, Michel Lecendreux, Paramala Santosh, Aribert Rothenberger, César Soutullo, Hans-Christoph Steinhausen, Eric Taylor, Saskia Van der Oord, Ian Wong, Alessandro Zuddas, Emily Simonoff,</w:t>
      </w:r>
      <w:r>
        <w:t xml:space="preserve"> (2020). </w:t>
      </w:r>
      <w:r>
        <w:t>ADHD management during the COVID-19 pandemic: guidance from the European ADHD Guidelines Group</w:t>
      </w:r>
      <w:r>
        <w:t>. T</w:t>
      </w:r>
      <w:r>
        <w:t>he Lancet Child &amp; Adolescent Health</w:t>
      </w:r>
      <w:r>
        <w:t xml:space="preserve">. </w:t>
      </w:r>
      <w:r>
        <w:t>Volume 4, Issue 6</w:t>
      </w:r>
      <w:r>
        <w:t xml:space="preserve">. </w:t>
      </w:r>
      <w:r>
        <w:t>Pages 412-414</w:t>
      </w:r>
      <w:r>
        <w:t xml:space="preserve">. </w:t>
      </w:r>
      <w:r>
        <w:t>2352-4642</w:t>
      </w:r>
      <w:r>
        <w:t xml:space="preserve">. </w:t>
      </w:r>
      <w:r>
        <w:t>https://doi.org/10.1016/S2352-4642(20)30110-3.</w:t>
      </w:r>
    </w:p>
    <w:p w14:paraId="0A77C30A" w14:textId="77777777" w:rsidR="00CC2624" w:rsidRPr="00CC2624" w:rsidRDefault="00CC2624"/>
    <w:sectPr w:rsidR="00CC2624" w:rsidRPr="00CC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24"/>
    <w:rsid w:val="000D236D"/>
    <w:rsid w:val="003C00BD"/>
    <w:rsid w:val="00431198"/>
    <w:rsid w:val="00432E1F"/>
    <w:rsid w:val="00BD29B6"/>
    <w:rsid w:val="00CC2624"/>
    <w:rsid w:val="00D328A3"/>
    <w:rsid w:val="00D73963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1B4B"/>
  <w15:chartTrackingRefBased/>
  <w15:docId w15:val="{B5D4C58F-AB6C-43F9-871B-730918CA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E1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3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p.ebscohost.com/ehost/search/basic?vid=1&amp;sid=853176c7-291a-4c69-8f9d-d814adb0569e%40re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6</cp:revision>
  <dcterms:created xsi:type="dcterms:W3CDTF">2022-03-30T17:52:00Z</dcterms:created>
  <dcterms:modified xsi:type="dcterms:W3CDTF">2022-04-06T18:35:00Z</dcterms:modified>
</cp:coreProperties>
</file>