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Title: </w:t>
      </w:r>
      <w:r w:rsidDel="00000000" w:rsidR="00000000" w:rsidRPr="00000000">
        <w:rPr>
          <w:rFonts w:ascii="Arial Narrow" w:cs="Arial Narrow" w:eastAsia="Arial Narrow" w:hAnsi="Arial Narrow"/>
          <w:sz w:val="24"/>
          <w:szCs w:val="24"/>
          <w:rtl w:val="0"/>
        </w:rPr>
        <w:t xml:space="preserve">Week 3 Cost Estimation and Financial Model</w:t>
      </w:r>
      <w:r w:rsidDel="00000000" w:rsidR="00000000" w:rsidRPr="00000000">
        <w:rPr>
          <w:rtl w:val="0"/>
        </w:rPr>
      </w:r>
    </w:p>
    <w:p w:rsidR="00000000" w:rsidDel="00000000" w:rsidP="00000000" w:rsidRDefault="00000000" w:rsidRPr="00000000" w14:paraId="00000002">
      <w:pPr>
        <w:keepNext w:val="0"/>
        <w:keepLines w:val="0"/>
        <w:spacing w:after="8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Key Assumptions</w:t>
      </w:r>
    </w:p>
    <w:p w:rsidR="00000000" w:rsidDel="00000000" w:rsidP="00000000" w:rsidRDefault="00000000" w:rsidRPr="00000000" w14:paraId="00000003">
      <w:pPr>
        <w:numPr>
          <w:ilvl w:val="0"/>
          <w:numId w:val="2"/>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Median values were used for all design parameters (e.g., 275 GB/day storage, 135 CPU‑hours/day, 660 kWh/day energy use, 75‑day retention, 1.5-second latency).</w:t>
      </w:r>
    </w:p>
    <w:p w:rsidR="00000000" w:rsidDel="00000000" w:rsidP="00000000" w:rsidRDefault="00000000" w:rsidRPr="00000000" w14:paraId="00000004">
      <w:pPr>
        <w:numPr>
          <w:ilvl w:val="0"/>
          <w:numId w:val="2"/>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All operating costs recur annually; integration cost is one‑time.</w:t>
      </w:r>
    </w:p>
    <w:p w:rsidR="00000000" w:rsidDel="00000000" w:rsidP="00000000" w:rsidRDefault="00000000" w:rsidRPr="00000000" w14:paraId="00000005">
      <w:pPr>
        <w:numPr>
          <w:ilvl w:val="0"/>
          <w:numId w:val="2"/>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Benefits begin in Year 2 after full system adoption.</w:t>
      </w:r>
    </w:p>
    <w:p w:rsidR="00000000" w:rsidDel="00000000" w:rsidP="00000000" w:rsidRDefault="00000000" w:rsidRPr="00000000" w14:paraId="00000006">
      <w:pPr>
        <w:numPr>
          <w:ilvl w:val="0"/>
          <w:numId w:val="2"/>
        </w:numP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Cost and benefit drivers map directly to subsystem behaviours (i.e., for the cost of storage, the benefit is data availability, for the cost of compute, the benefit is processing speed, etc.).</w:t>
      </w:r>
    </w:p>
    <w:p w:rsidR="00000000" w:rsidDel="00000000" w:rsidP="00000000" w:rsidRDefault="00000000" w:rsidRPr="00000000" w14:paraId="00000007">
      <w:pPr>
        <w:keepNext w:val="0"/>
        <w:keepLines w:val="0"/>
        <w:spacing w:after="8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Estimation Methods</w:t>
      </w:r>
    </w:p>
    <w:p w:rsidR="00000000" w:rsidDel="00000000" w:rsidP="00000000" w:rsidRDefault="00000000" w:rsidRPr="00000000" w14:paraId="00000008">
      <w:pPr>
        <w:numPr>
          <w:ilvl w:val="0"/>
          <w:numId w:val="3"/>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For cloud storage fees, for example, AWS S3 charges US$0.023/GB in a month. The Facility Software uses 275 GB/day. So, in a month, the total usage is 275*30=8,250 GB. In a month, total cost is 8250*0.023 = US$189.75. In a year, the total cost is 189.75*12 = US$2,277. Converting USD to CAD, total cost is 2,277*1.41 = ~CA$3,211. The calculation of other costs used similar formulae, i.e., compute, energy, and network costs estimated using daily usage * unit pricing.</w:t>
      </w:r>
    </w:p>
    <w:p w:rsidR="00000000" w:rsidDel="00000000" w:rsidP="00000000" w:rsidRDefault="00000000" w:rsidRPr="00000000" w14:paraId="00000009">
      <w:pPr>
        <w:numPr>
          <w:ilvl w:val="0"/>
          <w:numId w:val="3"/>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License cost is calculated based on mid‑size facility benchmarks.</w:t>
      </w:r>
    </w:p>
    <w:p w:rsidR="00000000" w:rsidDel="00000000" w:rsidP="00000000" w:rsidRDefault="00000000" w:rsidRPr="00000000" w14:paraId="0000000A">
      <w:pPr>
        <w:numPr>
          <w:ilvl w:val="0"/>
          <w:numId w:val="3"/>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Benefits monetized using standard formulas:</w:t>
      </w:r>
    </w:p>
    <w:p w:rsidR="00000000" w:rsidDel="00000000" w:rsidP="00000000" w:rsidRDefault="00000000" w:rsidRPr="00000000" w14:paraId="0000000B">
      <w:pPr>
        <w:numPr>
          <w:ilvl w:val="1"/>
          <w:numId w:val="3"/>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Breach avoidance = breaches avoided * cost per breach</w:t>
      </w:r>
    </w:p>
    <w:p w:rsidR="00000000" w:rsidDel="00000000" w:rsidP="00000000" w:rsidRDefault="00000000" w:rsidRPr="00000000" w14:paraId="0000000C">
      <w:pPr>
        <w:numPr>
          <w:ilvl w:val="1"/>
          <w:numId w:val="3"/>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Downtime reduction = hours avoided * cost per hour</w:t>
      </w:r>
    </w:p>
    <w:p w:rsidR="00000000" w:rsidDel="00000000" w:rsidP="00000000" w:rsidRDefault="00000000" w:rsidRPr="00000000" w14:paraId="0000000D">
      <w:pPr>
        <w:numPr>
          <w:ilvl w:val="1"/>
          <w:numId w:val="3"/>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Labour savings = hours saved * wage</w:t>
      </w:r>
    </w:p>
    <w:p w:rsidR="00000000" w:rsidDel="00000000" w:rsidP="00000000" w:rsidRDefault="00000000" w:rsidRPr="00000000" w14:paraId="0000000E">
      <w:pPr>
        <w:numPr>
          <w:ilvl w:val="1"/>
          <w:numId w:val="3"/>
        </w:numPr>
        <w:spacing w:after="0" w:afterAutospacing="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Compliance avoidance = events avoided * penalty</w:t>
      </w:r>
    </w:p>
    <w:p w:rsidR="00000000" w:rsidDel="00000000" w:rsidP="00000000" w:rsidRDefault="00000000" w:rsidRPr="00000000" w14:paraId="0000000F">
      <w:pPr>
        <w:numPr>
          <w:ilvl w:val="1"/>
          <w:numId w:val="3"/>
        </w:numPr>
        <w:spacing w:after="240" w:before="0" w:beforeAutospacing="0" w:lineRule="auto"/>
        <w:ind w:left="144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Productivity gain = hours saved * wage</w:t>
      </w:r>
    </w:p>
    <w:p w:rsidR="00000000" w:rsidDel="00000000" w:rsidP="00000000" w:rsidRDefault="00000000" w:rsidRPr="00000000" w14:paraId="00000010">
      <w:pPr>
        <w:keepNext w:val="0"/>
        <w:keepLines w:val="0"/>
        <w:spacing w:after="8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Key Calculations</w:t>
      </w:r>
    </w:p>
    <w:p w:rsidR="00000000" w:rsidDel="00000000" w:rsidP="00000000" w:rsidRDefault="00000000" w:rsidRPr="00000000" w14:paraId="00000011">
      <w:pPr>
        <w:numPr>
          <w:ilvl w:val="0"/>
          <w:numId w:val="1"/>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Annual OpEx: $41,811</w:t>
      </w:r>
    </w:p>
    <w:p w:rsidR="00000000" w:rsidDel="00000000" w:rsidP="00000000" w:rsidRDefault="00000000" w:rsidRPr="00000000" w14:paraId="00000012">
      <w:pPr>
        <w:numPr>
          <w:ilvl w:val="0"/>
          <w:numId w:val="1"/>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Annual Benefits: $184,000</w:t>
      </w:r>
    </w:p>
    <w:p w:rsidR="00000000" w:rsidDel="00000000" w:rsidP="00000000" w:rsidRDefault="00000000" w:rsidRPr="00000000" w14:paraId="00000013">
      <w:pPr>
        <w:numPr>
          <w:ilvl w:val="0"/>
          <w:numId w:val="1"/>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Net Cash Flow: Year 1: –$66,811 and Years 2–5: $142,189 each</w:t>
      </w:r>
    </w:p>
    <w:p w:rsidR="00000000" w:rsidDel="00000000" w:rsidP="00000000" w:rsidRDefault="00000000" w:rsidRPr="00000000" w14:paraId="00000014">
      <w:pPr>
        <w:numPr>
          <w:ilvl w:val="0"/>
          <w:numId w:val="1"/>
        </w:numP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Five‑Year Net Cash Flow: $501,945</w:t>
      </w:r>
    </w:p>
    <w:p w:rsidR="00000000" w:rsidDel="00000000" w:rsidP="00000000" w:rsidRDefault="00000000" w:rsidRPr="00000000" w14:paraId="00000015">
      <w:pPr>
        <w:keepNext w:val="0"/>
        <w:keepLines w:val="0"/>
        <w:spacing w:after="8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How my Week 2 high-level subsystem design informed my financial model</w:t>
      </w:r>
    </w:p>
    <w:p w:rsidR="00000000" w:rsidDel="00000000" w:rsidP="00000000" w:rsidRDefault="00000000" w:rsidRPr="00000000" w14:paraId="00000016">
      <w:pPr>
        <w:numPr>
          <w:ilvl w:val="0"/>
          <w:numId w:val="4"/>
        </w:numPr>
        <w:spacing w:after="0" w:afterAutospacing="0" w:before="24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Data ingestion and storage volumes informed storage cost and breach‑avoidance benefits.</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Compute pipeline requirements drove CPU‑hour estimates and downtime‑reduction benefits.</w:t>
      </w:r>
    </w:p>
    <w:p w:rsidR="00000000" w:rsidDel="00000000" w:rsidP="00000000" w:rsidRDefault="00000000" w:rsidRPr="00000000" w14:paraId="00000018">
      <w:pPr>
        <w:numPr>
          <w:ilvl w:val="0"/>
          <w:numId w:val="4"/>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Energy and retention subsystems defined OpEx and compliance‑related benefits.</w:t>
      </w:r>
    </w:p>
    <w:p w:rsidR="00000000" w:rsidDel="00000000" w:rsidP="00000000" w:rsidRDefault="00000000" w:rsidRPr="00000000" w14:paraId="00000019">
      <w:pPr>
        <w:numPr>
          <w:ilvl w:val="0"/>
          <w:numId w:val="4"/>
        </w:numPr>
        <w:spacing w:after="0" w:afterAutospacing="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User‑facing subsystems (UI, alerting, latency) informed productivity‑based benefits.</w:t>
      </w:r>
    </w:p>
    <w:p w:rsidR="00000000" w:rsidDel="00000000" w:rsidP="00000000" w:rsidRDefault="00000000" w:rsidRPr="00000000" w14:paraId="0000001A">
      <w:pPr>
        <w:numPr>
          <w:ilvl w:val="0"/>
          <w:numId w:val="4"/>
        </w:numPr>
        <w:spacing w:after="240" w:before="0" w:beforeAutospacing="0" w:lineRule="auto"/>
        <w:ind w:left="720" w:hanging="360"/>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Overall, each subsystem’s operational behaviour directly translated into a cost or benefit driver in the financial model.</w:t>
      </w:r>
    </w:p>
    <w:p w:rsidR="00000000" w:rsidDel="00000000" w:rsidP="00000000" w:rsidRDefault="00000000" w:rsidRPr="00000000" w14:paraId="0000001B">
      <w:pPr>
        <w:keepNext w:val="0"/>
        <w:keepLines w:val="0"/>
        <w:spacing w:after="80" w:lineRule="auto"/>
        <w:ind w:left="720" w:hanging="360"/>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b w:val="1"/>
          <w:bCs w:val="1"/>
          <w:sz w:val="24"/>
          <w:szCs w:val="24"/>
          <w:rtl w:val="0"/>
        </w:rPr>
        <w:t xml:space="preserve">References</w:t>
      </w:r>
    </w:p>
    <w:p w:rsidR="00000000" w:rsidDel="00000000" w:rsidP="00000000" w:rsidRDefault="00000000" w:rsidRPr="00000000" w14:paraId="0000001C">
      <w:pPr>
        <w:keepNext w:val="0"/>
        <w:keepLines w:val="0"/>
        <w:numPr>
          <w:ilvl w:val="0"/>
          <w:numId w:val="5"/>
        </w:numPr>
        <w:spacing w:after="0" w:afterAutospacing="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Public cloud pricing benchmarks (AWS, Azure, GCP): </w:t>
      </w:r>
      <w:hyperlink r:id="rId6">
        <w:r w:rsidDel="00000000" w:rsidR="00000000" w:rsidRPr="00000000">
          <w:rPr>
            <w:rFonts w:ascii="Arial Narrow" w:cs="Arial Narrow" w:eastAsia="Arial Narrow" w:hAnsi="Arial Narrow"/>
            <w:color w:val="1155cc"/>
            <w:sz w:val="24"/>
            <w:szCs w:val="24"/>
            <w:u w:val="single"/>
            <w:rtl w:val="0"/>
          </w:rPr>
          <w:t xml:space="preserve">https://cast.ai/blog/cloud-pricing-comparison/</w:t>
        </w:r>
      </w:hyperlink>
      <w:r w:rsidDel="00000000" w:rsidR="00000000" w:rsidRPr="00000000">
        <w:rPr>
          <w:rtl w:val="0"/>
        </w:rPr>
      </w:r>
    </w:p>
    <w:p w:rsidR="00000000" w:rsidDel="00000000" w:rsidP="00000000" w:rsidRDefault="00000000" w:rsidRPr="00000000" w14:paraId="0000001D">
      <w:pPr>
        <w:keepNext w:val="0"/>
        <w:keepLines w:val="0"/>
        <w:numPr>
          <w:ilvl w:val="0"/>
          <w:numId w:val="5"/>
        </w:numPr>
        <w:spacing w:after="0" w:afterAutospacing="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Cloud efficiency rate: </w:t>
      </w:r>
      <w:hyperlink r:id="rId7">
        <w:r w:rsidDel="00000000" w:rsidR="00000000" w:rsidRPr="00000000">
          <w:rPr>
            <w:rFonts w:ascii="Arial Narrow" w:cs="Arial Narrow" w:eastAsia="Arial Narrow" w:hAnsi="Arial Narrow"/>
            <w:color w:val="1155cc"/>
            <w:sz w:val="24"/>
            <w:szCs w:val="24"/>
            <w:u w:val="single"/>
            <w:rtl w:val="0"/>
          </w:rPr>
          <w:t xml:space="preserve">https://www.cloudzero.com/cloud-cost-benchmarking-tool/</w:t>
        </w:r>
      </w:hyperlink>
      <w:r w:rsidDel="00000000" w:rsidR="00000000" w:rsidRPr="00000000">
        <w:rPr>
          <w:rtl w:val="0"/>
        </w:rPr>
      </w:r>
    </w:p>
    <w:p w:rsidR="00000000" w:rsidDel="00000000" w:rsidP="00000000" w:rsidRDefault="00000000" w:rsidRPr="00000000" w14:paraId="0000001E">
      <w:pPr>
        <w:keepNext w:val="0"/>
        <w:keepLines w:val="0"/>
        <w:numPr>
          <w:ilvl w:val="0"/>
          <w:numId w:val="5"/>
        </w:numPr>
        <w:spacing w:after="0" w:afterAutospacing="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Electricity price calculation: </w:t>
      </w:r>
      <w:hyperlink r:id="rId8">
        <w:r w:rsidDel="00000000" w:rsidR="00000000" w:rsidRPr="00000000">
          <w:rPr>
            <w:rFonts w:ascii="Arial Narrow" w:cs="Arial Narrow" w:eastAsia="Arial Narrow" w:hAnsi="Arial Narrow"/>
            <w:color w:val="1155cc"/>
            <w:sz w:val="24"/>
            <w:szCs w:val="24"/>
            <w:u w:val="single"/>
            <w:rtl w:val="0"/>
          </w:rPr>
          <w:t xml:space="preserve">https://www.ckw.ch/energie/strom/stromprodukte</w:t>
        </w:r>
      </w:hyperlink>
      <w:r w:rsidDel="00000000" w:rsidR="00000000" w:rsidRPr="00000000">
        <w:rPr>
          <w:rtl w:val="0"/>
        </w:rPr>
      </w:r>
    </w:p>
    <w:p w:rsidR="00000000" w:rsidDel="00000000" w:rsidP="00000000" w:rsidRDefault="00000000" w:rsidRPr="00000000" w14:paraId="0000001F">
      <w:pPr>
        <w:keepNext w:val="0"/>
        <w:keepLines w:val="0"/>
        <w:numPr>
          <w:ilvl w:val="0"/>
          <w:numId w:val="5"/>
        </w:numPr>
        <w:spacing w:after="0" w:afterAutospacing="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Breakdown of API Management Cost: </w:t>
      </w:r>
      <w:hyperlink r:id="rId9">
        <w:r w:rsidDel="00000000" w:rsidR="00000000" w:rsidRPr="00000000">
          <w:rPr>
            <w:rFonts w:ascii="Arial Narrow" w:cs="Arial Narrow" w:eastAsia="Arial Narrow" w:hAnsi="Arial Narrow"/>
            <w:color w:val="1155cc"/>
            <w:sz w:val="24"/>
            <w:szCs w:val="24"/>
            <w:u w:val="single"/>
            <w:rtl w:val="0"/>
          </w:rPr>
          <w:t xml:space="preserve">https://www.digitalapi.ai/blogs/api-management-cost</w:t>
        </w:r>
      </w:hyperlink>
      <w:r w:rsidDel="00000000" w:rsidR="00000000" w:rsidRPr="00000000">
        <w:rPr>
          <w:rtl w:val="0"/>
        </w:rPr>
      </w:r>
    </w:p>
    <w:p w:rsidR="00000000" w:rsidDel="00000000" w:rsidP="00000000" w:rsidRDefault="00000000" w:rsidRPr="00000000" w14:paraId="00000020">
      <w:pPr>
        <w:keepNext w:val="0"/>
        <w:keepLines w:val="0"/>
        <w:numPr>
          <w:ilvl w:val="0"/>
          <w:numId w:val="5"/>
        </w:numPr>
        <w:spacing w:after="0" w:afterAutospacing="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SaaS Management pricing for Audit &amp; Compliance Support: </w:t>
      </w:r>
      <w:hyperlink r:id="rId10">
        <w:r w:rsidDel="00000000" w:rsidR="00000000" w:rsidRPr="00000000">
          <w:rPr>
            <w:rFonts w:ascii="Arial Narrow" w:cs="Arial Narrow" w:eastAsia="Arial Narrow" w:hAnsi="Arial Narrow"/>
            <w:color w:val="1155cc"/>
            <w:sz w:val="24"/>
            <w:szCs w:val="24"/>
            <w:u w:val="single"/>
            <w:rtl w:val="0"/>
          </w:rPr>
          <w:t xml:space="preserve">https://www.cloudeagle.ai/blogs/top-10-saas-license-tracking-tools-for-2025#:~:text=Effective%20saas%20license%20management%20requires,to%20maintain%20compliance%20and%20accountability</w:t>
        </w:r>
      </w:hyperlink>
      <w:r w:rsidDel="00000000" w:rsidR="00000000" w:rsidRPr="00000000">
        <w:rPr>
          <w:rtl w:val="0"/>
        </w:rPr>
      </w:r>
    </w:p>
    <w:p w:rsidR="00000000" w:rsidDel="00000000" w:rsidP="00000000" w:rsidRDefault="00000000" w:rsidRPr="00000000" w14:paraId="00000021">
      <w:pPr>
        <w:keepNext w:val="0"/>
        <w:keepLines w:val="0"/>
        <w:numPr>
          <w:ilvl w:val="0"/>
          <w:numId w:val="5"/>
        </w:numPr>
        <w:spacing w:after="0" w:afterAutospacing="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Warehouse Management System software cost: </w:t>
      </w:r>
      <w:hyperlink r:id="rId11">
        <w:r w:rsidDel="00000000" w:rsidR="00000000" w:rsidRPr="00000000">
          <w:rPr>
            <w:rFonts w:ascii="Arial Narrow" w:cs="Arial Narrow" w:eastAsia="Arial Narrow" w:hAnsi="Arial Narrow"/>
            <w:color w:val="1155cc"/>
            <w:sz w:val="24"/>
            <w:szCs w:val="24"/>
            <w:u w:val="single"/>
            <w:rtl w:val="0"/>
          </w:rPr>
          <w:t xml:space="preserve">https://www.explorewms.com/how-much-wms-software-costs-and-how-to-set-your-budget.html#:~:text=Entry%2Dlevel%20perpetual%20license%20WMS,the%20license%20cost%20per%20year</w:t>
        </w:r>
      </w:hyperlink>
      <w:r w:rsidDel="00000000" w:rsidR="00000000" w:rsidRPr="00000000">
        <w:rPr>
          <w:rFonts w:ascii="Arial Narrow" w:cs="Arial Narrow" w:eastAsia="Arial Narrow" w:hAnsi="Arial Narrow"/>
          <w:sz w:val="24"/>
          <w:szCs w:val="24"/>
          <w:rtl w:val="0"/>
        </w:rPr>
        <w:t xml:space="preserve">.</w:t>
      </w:r>
    </w:p>
    <w:p w:rsidR="00000000" w:rsidDel="00000000" w:rsidP="00000000" w:rsidRDefault="00000000" w:rsidRPr="00000000" w14:paraId="00000022">
      <w:pPr>
        <w:keepNext w:val="0"/>
        <w:keepLines w:val="0"/>
        <w:numPr>
          <w:ilvl w:val="0"/>
          <w:numId w:val="5"/>
        </w:numPr>
        <w:spacing w:after="0" w:afterAutospacing="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Cost of a Data Breach Report 2025 The AI Oversight Gap: </w:t>
      </w:r>
      <w:hyperlink r:id="rId12">
        <w:r w:rsidDel="00000000" w:rsidR="00000000" w:rsidRPr="00000000">
          <w:rPr>
            <w:rFonts w:ascii="Arial Narrow" w:cs="Arial Narrow" w:eastAsia="Arial Narrow" w:hAnsi="Arial Narrow"/>
            <w:color w:val="1155cc"/>
            <w:sz w:val="24"/>
            <w:szCs w:val="24"/>
            <w:u w:val="single"/>
            <w:rtl w:val="0"/>
          </w:rPr>
          <w:t xml:space="preserve">https://www.bakerdonelson.com/webfiles/Publications/20250822_Cost-of-a-Data-Breach-Report-2025.pdf</w:t>
        </w:r>
      </w:hyperlink>
      <w:r w:rsidDel="00000000" w:rsidR="00000000" w:rsidRPr="00000000">
        <w:rPr>
          <w:rtl w:val="0"/>
        </w:rPr>
      </w:r>
    </w:p>
    <w:p w:rsidR="00000000" w:rsidDel="00000000" w:rsidP="00000000" w:rsidRDefault="00000000" w:rsidRPr="00000000" w14:paraId="00000023">
      <w:pPr>
        <w:keepNext w:val="0"/>
        <w:keepLines w:val="0"/>
        <w:numPr>
          <w:ilvl w:val="0"/>
          <w:numId w:val="5"/>
        </w:numPr>
        <w:spacing w:after="0" w:afterAutospacing="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Uptime Institute downtime cost benchmarks: </w:t>
      </w:r>
      <w:hyperlink r:id="rId13">
        <w:r w:rsidDel="00000000" w:rsidR="00000000" w:rsidRPr="00000000">
          <w:rPr>
            <w:rFonts w:ascii="Arial Narrow" w:cs="Arial Narrow" w:eastAsia="Arial Narrow" w:hAnsi="Arial Narrow"/>
            <w:color w:val="1155cc"/>
            <w:sz w:val="24"/>
            <w:szCs w:val="24"/>
            <w:u w:val="single"/>
            <w:rtl w:val="0"/>
          </w:rPr>
          <w:t xml:space="preserve">https://uptimeinstitute.com/about-ui/press-releases/2022-outage-analysis-finds-downtime-costs-and-consequences-worsening</w:t>
        </w:r>
      </w:hyperlink>
      <w:r w:rsidDel="00000000" w:rsidR="00000000" w:rsidRPr="00000000">
        <w:rPr>
          <w:rtl w:val="0"/>
        </w:rPr>
      </w:r>
    </w:p>
    <w:p w:rsidR="00000000" w:rsidDel="00000000" w:rsidP="00000000" w:rsidRDefault="00000000" w:rsidRPr="00000000" w14:paraId="00000024">
      <w:pPr>
        <w:keepNext w:val="0"/>
        <w:keepLines w:val="0"/>
        <w:numPr>
          <w:ilvl w:val="0"/>
          <w:numId w:val="5"/>
        </w:numPr>
        <w:spacing w:after="0" w:afterAutospacing="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Cost of false alarms: </w:t>
      </w:r>
      <w:hyperlink r:id="rId14">
        <w:r w:rsidDel="00000000" w:rsidR="00000000" w:rsidRPr="00000000">
          <w:rPr>
            <w:rFonts w:ascii="Arial Narrow" w:cs="Arial Narrow" w:eastAsia="Arial Narrow" w:hAnsi="Arial Narrow"/>
            <w:color w:val="1155cc"/>
            <w:sz w:val="24"/>
            <w:szCs w:val="24"/>
            <w:u w:val="single"/>
            <w:rtl w:val="0"/>
          </w:rPr>
          <w:t xml:space="preserve">https://www.arcadian.ai/blogs/blogs/the-true-cost-of-false-alarms-how-ai-stops-alert-fatigue-in-retail#:~:text=Ranger%20reduced%20false%20alerts%20by,police%20fines%20in%203%20months</w:t>
        </w:r>
      </w:hyperlink>
      <w:r w:rsidDel="00000000" w:rsidR="00000000" w:rsidRPr="00000000">
        <w:rPr>
          <w:rtl w:val="0"/>
        </w:rPr>
      </w:r>
    </w:p>
    <w:p w:rsidR="00000000" w:rsidDel="00000000" w:rsidP="00000000" w:rsidRDefault="00000000" w:rsidRPr="00000000" w14:paraId="00000025">
      <w:pPr>
        <w:keepNext w:val="0"/>
        <w:keepLines w:val="0"/>
        <w:numPr>
          <w:ilvl w:val="0"/>
          <w:numId w:val="5"/>
        </w:numPr>
        <w:spacing w:after="0" w:afterAutospacing="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Industry compliance penalty guidelines: </w:t>
      </w:r>
      <w:hyperlink r:id="rId15">
        <w:r w:rsidDel="00000000" w:rsidR="00000000" w:rsidRPr="00000000">
          <w:rPr>
            <w:rFonts w:ascii="Arial Narrow" w:cs="Arial Narrow" w:eastAsia="Arial Narrow" w:hAnsi="Arial Narrow"/>
            <w:color w:val="1155cc"/>
            <w:sz w:val="24"/>
            <w:szCs w:val="24"/>
            <w:u w:val="single"/>
            <w:rtl w:val="0"/>
          </w:rPr>
          <w:t xml:space="preserve">https://www.ontario.ca/page/guideline-implementing-environmental-penalties-ontario-regulations-22207-and-22307</w:t>
        </w:r>
      </w:hyperlink>
      <w:r w:rsidDel="00000000" w:rsidR="00000000" w:rsidRPr="00000000">
        <w:rPr>
          <w:rtl w:val="0"/>
        </w:rPr>
      </w:r>
    </w:p>
    <w:p w:rsidR="00000000" w:rsidDel="00000000" w:rsidP="00000000" w:rsidRDefault="00000000" w:rsidRPr="00000000" w14:paraId="00000026">
      <w:pPr>
        <w:keepNext w:val="0"/>
        <w:keepLines w:val="0"/>
        <w:numPr>
          <w:ilvl w:val="0"/>
          <w:numId w:val="5"/>
        </w:numPr>
        <w:spacing w:after="80" w:lineRule="auto"/>
        <w:ind w:left="720" w:hanging="360"/>
        <w:rPr>
          <w:rFonts w:ascii="Arial Narrow" w:cs="Arial Narrow" w:eastAsia="Arial Narrow" w:hAnsi="Arial Narrow"/>
          <w:sz w:val="24"/>
          <w:szCs w:val="24"/>
          <w:u w:val="none"/>
        </w:rPr>
      </w:pPr>
      <w:r w:rsidDel="00000000" w:rsidR="00000000" w:rsidRPr="00000000">
        <w:rPr>
          <w:rFonts w:ascii="Arial Narrow" w:cs="Arial Narrow" w:eastAsia="Arial Narrow" w:hAnsi="Arial Narrow"/>
          <w:sz w:val="24"/>
          <w:szCs w:val="24"/>
          <w:rtl w:val="0"/>
        </w:rPr>
        <w:t xml:space="preserve">Staff productivity benefits for using more timely applications: </w:t>
      </w:r>
      <w:hyperlink r:id="rId16">
        <w:r w:rsidDel="00000000" w:rsidR="00000000" w:rsidRPr="00000000">
          <w:rPr>
            <w:rFonts w:ascii="Arial Narrow" w:cs="Arial Narrow" w:eastAsia="Arial Narrow" w:hAnsi="Arial Narrow"/>
            <w:color w:val="1155cc"/>
            <w:sz w:val="24"/>
            <w:szCs w:val="24"/>
            <w:u w:val="single"/>
            <w:rtl w:val="0"/>
          </w:rPr>
          <w:t xml:space="preserve">https://pages.awscloud.com/rs/112-TZM-766/images/GEN_windows-on-aws-it-infrastructure-idc-mini-report_Sep-2019.pdf#:~:text=IDC's%20research%20demonstrates%20that%2C%20by%20moving%20Windows,per%20100%20users%20($3.46%20million%20per%20organization)</w:t>
        </w:r>
      </w:hyperlink>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sectPr>
      <w:headerReference r:id="rId1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jc w:val="right"/>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Full Name: Tridib Banik</w:t>
    </w:r>
  </w:p>
  <w:p w:rsidR="00000000" w:rsidDel="00000000" w:rsidP="00000000" w:rsidRDefault="00000000" w:rsidRPr="00000000" w14:paraId="00000028">
    <w:pPr>
      <w:jc w:val="right"/>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Student Number: 400514461</w:t>
    </w:r>
  </w:p>
  <w:p w:rsidR="00000000" w:rsidDel="00000000" w:rsidP="00000000" w:rsidRDefault="00000000" w:rsidRPr="00000000" w14:paraId="00000029">
    <w:pPr>
      <w:jc w:val="right"/>
      <w:rPr>
        <w:rFonts w:ascii="Arial Narrow" w:cs="Arial Narrow" w:eastAsia="Arial Narrow" w:hAnsi="Arial Narrow"/>
        <w:sz w:val="24"/>
        <w:szCs w:val="24"/>
        <w:highlight w:val="white"/>
      </w:rPr>
    </w:pPr>
    <w:r w:rsidDel="00000000" w:rsidR="00000000" w:rsidRPr="00000000">
      <w:rPr>
        <w:rFonts w:ascii="Arial Narrow" w:cs="Arial Narrow" w:eastAsia="Arial Narrow" w:hAnsi="Arial Narrow"/>
        <w:sz w:val="24"/>
        <w:szCs w:val="24"/>
        <w:highlight w:val="white"/>
        <w:rtl w:val="0"/>
      </w:rPr>
      <w:t xml:space="preserve">Mac ID: banikt</w:t>
    </w:r>
  </w:p>
  <w:p w:rsidR="00000000" w:rsidDel="00000000" w:rsidP="00000000" w:rsidRDefault="00000000" w:rsidRPr="00000000" w14:paraId="0000002A">
    <w:pPr>
      <w:jc w:val="righ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highlight w:val="white"/>
        <w:rtl w:val="0"/>
      </w:rPr>
      <w:t xml:space="preserve">Group and Tutorial: Group 7, T01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www.explorewms.com/how-much-wms-software-costs-and-how-to-set-your-budget.html#:~:text=Entry%2Dlevel%20perpetual%20license%20WMS,the%20license%20cost%20per%20year" TargetMode="External"/><Relationship Id="rId10" Type="http://schemas.openxmlformats.org/officeDocument/2006/relationships/hyperlink" Target="https://www.cloudeagle.ai/blogs/top-10-saas-license-tracking-tools-for-2025#:~:text=Effective%20saas%20license%20management%20requires,to%20maintain%20compliance%20and%20accountability" TargetMode="External"/><Relationship Id="rId13" Type="http://schemas.openxmlformats.org/officeDocument/2006/relationships/hyperlink" Target="https://uptimeinstitute.com/about-ui/press-releases/2022-outage-analysis-finds-downtime-costs-and-consequences-worsening" TargetMode="External"/><Relationship Id="rId12" Type="http://schemas.openxmlformats.org/officeDocument/2006/relationships/hyperlink" Target="https://www.bakerdonelson.com/webfiles/Publications/20250822_Cost-of-a-Data-Breach-Report-2025.pdf"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digitalapi.ai/blogs/api-management-cost" TargetMode="External"/><Relationship Id="rId15" Type="http://schemas.openxmlformats.org/officeDocument/2006/relationships/hyperlink" Target="https://www.ontario.ca/page/guideline-implementing-environmental-penalties-ontario-regulations-22207-and-22307" TargetMode="External"/><Relationship Id="rId14" Type="http://schemas.openxmlformats.org/officeDocument/2006/relationships/hyperlink" Target="https://www.arcadian.ai/blogs/blogs/the-true-cost-of-false-alarms-how-ai-stops-alert-fatigue-in-retail#:~:text=Ranger%20reduced%20false%20alerts%20by,police%20fines%20in%203%20months" TargetMode="External"/><Relationship Id="rId17" Type="http://schemas.openxmlformats.org/officeDocument/2006/relationships/header" Target="header1.xml"/><Relationship Id="rId16" Type="http://schemas.openxmlformats.org/officeDocument/2006/relationships/hyperlink" Target="https://pages.awscloud.com/rs/112-TZM-766/images/GEN_windows-on-aws-it-infrastructure-idc-mini-report_Sep-2019.pdf#:~:text=IDC's%20research%20demonstrates%20that%2C%20by%20moving%20Windows,per%20100%20users%20($3.46%20million%20per%20organization)" TargetMode="External"/><Relationship Id="rId5" Type="http://schemas.openxmlformats.org/officeDocument/2006/relationships/styles" Target="styles.xml"/><Relationship Id="rId6" Type="http://schemas.openxmlformats.org/officeDocument/2006/relationships/hyperlink" Target="https://cast.ai/blog/cloud-pricing-comparison/" TargetMode="External"/><Relationship Id="rId7" Type="http://schemas.openxmlformats.org/officeDocument/2006/relationships/hyperlink" Target="https://www.cloudzero.com/cloud-cost-benchmarking-tool/" TargetMode="External"/><Relationship Id="rId8" Type="http://schemas.openxmlformats.org/officeDocument/2006/relationships/hyperlink" Target="https://www.ckw.ch/energie/strom/stromprodukt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