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Title: </w:t>
      </w:r>
      <w:r w:rsidDel="00000000" w:rsidR="00000000" w:rsidRPr="00000000">
        <w:rPr>
          <w:rFonts w:ascii="Arial Narrow" w:cs="Arial Narrow" w:eastAsia="Arial Narrow" w:hAnsi="Arial Narrow"/>
          <w:sz w:val="24"/>
          <w:szCs w:val="24"/>
          <w:rtl w:val="0"/>
        </w:rPr>
        <w:t xml:space="preserve">Week 4 Project Management and Cost-Benefit Analysis</w:t>
      </w:r>
    </w:p>
    <w:p w:rsidR="00000000" w:rsidDel="00000000" w:rsidP="00000000" w:rsidRDefault="00000000" w:rsidRPr="00000000" w14:paraId="00000002">
      <w:pPr>
        <w:keepNext w:val="0"/>
        <w:keepLines w:val="0"/>
        <w:spacing w:after="8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Exercise 1: Work Breakdown Structure (WBS) -&gt; </w:t>
      </w:r>
      <w:r w:rsidDel="00000000" w:rsidR="00000000" w:rsidRPr="00000000">
        <w:rPr>
          <w:rFonts w:ascii="Arial Narrow" w:cs="Arial Narrow" w:eastAsia="Arial Narrow" w:hAnsi="Arial Narrow"/>
          <w:sz w:val="24"/>
          <w:szCs w:val="24"/>
          <w:rtl w:val="0"/>
        </w:rPr>
        <w:t xml:space="preserve">The WBS Diagram is inserted in Excel.</w:t>
      </w:r>
    </w:p>
    <w:p w:rsidR="00000000" w:rsidDel="00000000" w:rsidP="00000000" w:rsidRDefault="00000000" w:rsidRPr="00000000" w14:paraId="00000003">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Exercise 2: Project Scheduling and Critical Path Method (CPM)</w:t>
      </w:r>
    </w:p>
    <w:p w:rsidR="00000000" w:rsidDel="00000000" w:rsidP="00000000" w:rsidRDefault="00000000" w:rsidRPr="00000000" w14:paraId="00000004">
      <w:pPr>
        <w:spacing w:after="240" w:before="240" w:lineRule="auto"/>
        <w:ind w:left="0" w:firstLine="72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Critical activities and why delays in these activities affect overall project completion</w:t>
      </w:r>
    </w:p>
    <w:p w:rsidR="00000000" w:rsidDel="00000000" w:rsidP="00000000" w:rsidRDefault="00000000" w:rsidRPr="00000000" w14:paraId="00000005">
      <w:pPr>
        <w:numPr>
          <w:ilvl w:val="0"/>
          <w:numId w:val="4"/>
        </w:numPr>
        <w:spacing w:after="240" w:before="24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The critical path consists of tasks 1.1, 1.2, 2.1–2.3, 3.1, 3.3–3.4, 4.1–4.4, and 5.2–5.4, with a total duration of approximately 49 months. These activities are critical because any delay in them directly delays subsequent dependent tasks and therefore pushes out the overall project completion date [1]. Non-critical tasks such as 1.3, 2.4, 3.2, and 5.1 have scheduling flexibility (slack) as long as they finish before their respective critical successors.</w:t>
      </w:r>
    </w:p>
    <w:p w:rsidR="00000000" w:rsidDel="00000000" w:rsidP="00000000" w:rsidRDefault="00000000" w:rsidRPr="00000000" w14:paraId="00000006">
      <w:pPr>
        <w:spacing w:after="240" w:before="24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sz w:val="24"/>
          <w:szCs w:val="24"/>
          <w:rtl w:val="0"/>
        </w:rPr>
        <w:t xml:space="preserve">Key scheduling assumptions</w:t>
      </w:r>
    </w:p>
    <w:p w:rsidR="00000000" w:rsidDel="00000000" w:rsidP="00000000" w:rsidRDefault="00000000" w:rsidRPr="00000000" w14:paraId="00000007">
      <w:pPr>
        <w:numPr>
          <w:ilvl w:val="0"/>
          <w:numId w:val="3"/>
        </w:numPr>
        <w:spacing w:after="0" w:afterAutospacing="0" w:before="240" w:lineRule="auto"/>
        <w:ind w:left="720" w:hanging="360"/>
        <w:rPr>
          <w:rFonts w:ascii="Arial Narrow" w:cs="Arial Narrow" w:eastAsia="Arial Narrow" w:hAnsi="Arial Narrow"/>
          <w:b w:val="1"/>
          <w:bCs w:val="1"/>
          <w:sz w:val="24"/>
          <w:szCs w:val="24"/>
          <w:u w:val="none"/>
        </w:rPr>
      </w:pPr>
      <w:r w:rsidDel="00000000" w:rsidR="00000000" w:rsidRPr="00000000">
        <w:rPr>
          <w:rFonts w:ascii="Arial Narrow" w:cs="Arial Narrow" w:eastAsia="Arial Narrow" w:hAnsi="Arial Narrow"/>
          <w:b w:val="1"/>
          <w:bCs w:val="1"/>
          <w:sz w:val="24"/>
          <w:szCs w:val="24"/>
          <w:rtl w:val="0"/>
        </w:rPr>
        <w:t xml:space="preserve">Procurement lead times: </w:t>
      </w:r>
      <w:r w:rsidDel="00000000" w:rsidR="00000000" w:rsidRPr="00000000">
        <w:rPr>
          <w:rFonts w:ascii="Arial Narrow" w:cs="Arial Narrow" w:eastAsia="Arial Narrow" w:hAnsi="Arial Narrow"/>
          <w:sz w:val="24"/>
          <w:szCs w:val="24"/>
          <w:rtl w:val="0"/>
        </w:rPr>
        <w:t xml:space="preserve">Hardware and SaaS contracts can be completed within ~6 months (2.2 + 2.3), with hardware delivery and staging taking ~3 months (3.1).</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Arial Narrow" w:cs="Arial Narrow" w:eastAsia="Arial Narrow" w:hAnsi="Arial Narrow"/>
          <w:b w:val="1"/>
          <w:bCs w:val="1"/>
          <w:sz w:val="24"/>
          <w:szCs w:val="24"/>
          <w:u w:val="none"/>
        </w:rPr>
      </w:pPr>
      <w:r w:rsidDel="00000000" w:rsidR="00000000" w:rsidRPr="00000000">
        <w:rPr>
          <w:rFonts w:ascii="Arial Narrow" w:cs="Arial Narrow" w:eastAsia="Arial Narrow" w:hAnsi="Arial Narrow"/>
          <w:b w:val="1"/>
          <w:bCs w:val="1"/>
          <w:sz w:val="24"/>
          <w:szCs w:val="24"/>
          <w:rtl w:val="0"/>
        </w:rPr>
        <w:t xml:space="preserve">Labour availability:</w:t>
      </w:r>
      <w:r w:rsidDel="00000000" w:rsidR="00000000" w:rsidRPr="00000000">
        <w:rPr>
          <w:rFonts w:ascii="Arial Narrow" w:cs="Arial Narrow" w:eastAsia="Arial Narrow" w:hAnsi="Arial Narrow"/>
          <w:sz w:val="24"/>
          <w:szCs w:val="24"/>
          <w:rtl w:val="0"/>
        </w:rPr>
        <w:t xml:space="preserve"> Sufficient engineering, installation, and testing staff are available to execute tasks in parallel where indicated (e.g., 3.1 and 3.2, 1.2 and 1.3).</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Arial Narrow" w:cs="Arial Narrow" w:eastAsia="Arial Narrow" w:hAnsi="Arial Narrow"/>
          <w:b w:val="1"/>
          <w:bCs w:val="1"/>
          <w:sz w:val="24"/>
          <w:szCs w:val="24"/>
          <w:u w:val="none"/>
        </w:rPr>
      </w:pPr>
      <w:r w:rsidDel="00000000" w:rsidR="00000000" w:rsidRPr="00000000">
        <w:rPr>
          <w:rFonts w:ascii="Arial Narrow" w:cs="Arial Narrow" w:eastAsia="Arial Narrow" w:hAnsi="Arial Narrow"/>
          <w:b w:val="1"/>
          <w:bCs w:val="1"/>
          <w:sz w:val="24"/>
          <w:szCs w:val="24"/>
          <w:rtl w:val="0"/>
        </w:rPr>
        <w:t xml:space="preserve">Regulatory and accreditation timelines: </w:t>
      </w:r>
      <w:r w:rsidDel="00000000" w:rsidR="00000000" w:rsidRPr="00000000">
        <w:rPr>
          <w:rFonts w:ascii="Arial Narrow" w:cs="Arial Narrow" w:eastAsia="Arial Narrow" w:hAnsi="Arial Narrow"/>
          <w:sz w:val="24"/>
          <w:szCs w:val="24"/>
          <w:rtl w:val="0"/>
        </w:rPr>
        <w:t xml:space="preserve">Cybersecurity accreditation and regulatory reviews can be completed within ~4 months (4.3) once testing evidence is available.</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Arial Narrow" w:cs="Arial Narrow" w:eastAsia="Arial Narrow" w:hAnsi="Arial Narrow"/>
          <w:b w:val="1"/>
          <w:bCs w:val="1"/>
          <w:sz w:val="24"/>
          <w:szCs w:val="24"/>
          <w:u w:val="none"/>
        </w:rPr>
      </w:pPr>
      <w:r w:rsidDel="00000000" w:rsidR="00000000" w:rsidRPr="00000000">
        <w:rPr>
          <w:rFonts w:ascii="Arial Narrow" w:cs="Arial Narrow" w:eastAsia="Arial Narrow" w:hAnsi="Arial Narrow"/>
          <w:b w:val="1"/>
          <w:bCs w:val="1"/>
          <w:sz w:val="24"/>
          <w:szCs w:val="24"/>
          <w:rtl w:val="0"/>
        </w:rPr>
        <w:t xml:space="preserve">Construction/base‑building readiness:</w:t>
      </w:r>
      <w:r w:rsidDel="00000000" w:rsidR="00000000" w:rsidRPr="00000000">
        <w:rPr>
          <w:rFonts w:ascii="Arial Narrow" w:cs="Arial Narrow" w:eastAsia="Arial Narrow" w:hAnsi="Arial Narrow"/>
          <w:sz w:val="24"/>
          <w:szCs w:val="24"/>
          <w:rtl w:val="0"/>
        </w:rPr>
        <w:t xml:space="preserve"> Site readiness (2.4) can be completed in parallel with design and procurement and will not delay installation if finished before 3.3.</w:t>
      </w:r>
    </w:p>
    <w:p w:rsidR="00000000" w:rsidDel="00000000" w:rsidP="00000000" w:rsidRDefault="00000000" w:rsidRPr="00000000" w14:paraId="0000000B">
      <w:pPr>
        <w:numPr>
          <w:ilvl w:val="0"/>
          <w:numId w:val="3"/>
        </w:numPr>
        <w:spacing w:after="240" w:before="0" w:beforeAutospacing="0" w:lineRule="auto"/>
        <w:ind w:left="720" w:hanging="360"/>
        <w:rPr>
          <w:rFonts w:ascii="Arial Narrow" w:cs="Arial Narrow" w:eastAsia="Arial Narrow" w:hAnsi="Arial Narrow"/>
          <w:b w:val="1"/>
          <w:bCs w:val="1"/>
          <w:sz w:val="24"/>
          <w:szCs w:val="24"/>
          <w:u w:val="none"/>
        </w:rPr>
      </w:pPr>
      <w:r w:rsidDel="00000000" w:rsidR="00000000" w:rsidRPr="00000000">
        <w:rPr>
          <w:rFonts w:ascii="Arial Narrow" w:cs="Arial Narrow" w:eastAsia="Arial Narrow" w:hAnsi="Arial Narrow"/>
          <w:b w:val="1"/>
          <w:bCs w:val="1"/>
          <w:sz w:val="24"/>
          <w:szCs w:val="24"/>
          <w:rtl w:val="0"/>
        </w:rPr>
        <w:t xml:space="preserve">No major rework: </w:t>
      </w:r>
      <w:r w:rsidDel="00000000" w:rsidR="00000000" w:rsidRPr="00000000">
        <w:rPr>
          <w:rFonts w:ascii="Arial Narrow" w:cs="Arial Narrow" w:eastAsia="Arial Narrow" w:hAnsi="Arial Narrow"/>
          <w:sz w:val="24"/>
          <w:szCs w:val="24"/>
          <w:rtl w:val="0"/>
        </w:rPr>
        <w:t xml:space="preserve">Assumes no major design changes after detailed design (2.1) that would force re‑doing procurement or integration.</w:t>
      </w:r>
    </w:p>
    <w:p w:rsidR="00000000" w:rsidDel="00000000" w:rsidP="00000000" w:rsidRDefault="00000000" w:rsidRPr="00000000" w14:paraId="0000000C">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Critical Path and Total Project Duration</w:t>
      </w:r>
    </w:p>
    <w:p w:rsidR="00000000" w:rsidDel="00000000" w:rsidP="00000000" w:rsidRDefault="00000000" w:rsidRPr="00000000" w14:paraId="0000000D">
      <w:pPr>
        <w:numPr>
          <w:ilvl w:val="0"/>
          <w:numId w:val="7"/>
        </w:numPr>
        <w:spacing w:after="0" w:afterAutospacing="0" w:before="240" w:lineRule="auto"/>
        <w:ind w:left="720" w:hanging="360"/>
        <w:rPr>
          <w:rFonts w:ascii="Arial Narrow" w:cs="Arial Narrow" w:eastAsia="Arial Narrow" w:hAnsi="Arial Narrow"/>
          <w:sz w:val="24"/>
          <w:szCs w:val="24"/>
          <w:u w:val="none"/>
        </w:rPr>
      </w:pPr>
      <w:r w:rsidDel="00000000" w:rsidR="00000000" w:rsidRPr="00000000">
        <w:rPr>
          <w:rFonts w:ascii="Arial Unicode MS" w:cs="Arial Unicode MS" w:eastAsia="Arial Unicode MS" w:hAnsi="Arial Unicode MS"/>
          <w:sz w:val="24"/>
          <w:szCs w:val="24"/>
          <w:rtl w:val="0"/>
        </w:rPr>
        <w:t xml:space="preserve">The critical path is: 1.1 → 1.2 → 2.1 → 2.2 → 2.3 → 3.1 → 3.3 → 3.4 → 4.1 → 4.2 → 4.3 → 4.4 → 5.2 → 5.3 → 5.4.</w:t>
      </w:r>
    </w:p>
    <w:p w:rsidR="00000000" w:rsidDel="00000000" w:rsidP="00000000" w:rsidRDefault="00000000" w:rsidRPr="00000000" w14:paraId="0000000E">
      <w:pPr>
        <w:numPr>
          <w:ilvl w:val="0"/>
          <w:numId w:val="7"/>
        </w:numPr>
        <w:spacing w:after="240" w:before="0" w:before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Summing task durations along this path gives a total project duration of 49 months (~4.1 years), which fits within the 5‑year planning window.</w:t>
      </w:r>
    </w:p>
    <w:p w:rsidR="00000000" w:rsidDel="00000000" w:rsidP="00000000" w:rsidRDefault="00000000" w:rsidRPr="00000000" w14:paraId="0000000F">
      <w:pPr>
        <w:spacing w:after="240"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Critical Activities (Zero Slack): </w:t>
      </w:r>
      <w:r w:rsidDel="00000000" w:rsidR="00000000" w:rsidRPr="00000000">
        <w:rPr>
          <w:rFonts w:ascii="Arial Narrow" w:cs="Arial Narrow" w:eastAsia="Arial Narrow" w:hAnsi="Arial Narrow"/>
          <w:sz w:val="24"/>
          <w:szCs w:val="24"/>
          <w:rtl w:val="0"/>
        </w:rPr>
        <w:t xml:space="preserve">1.1, 1.2, 2.1, 2.2, 2.3, 3.1, 3.3, 3.4, 4.1, 4.2, 4.3, 4.4, 5.2, 5.3, 5.4</w:t>
      </w:r>
    </w:p>
    <w:p w:rsidR="00000000" w:rsidDel="00000000" w:rsidP="00000000" w:rsidRDefault="00000000" w:rsidRPr="00000000" w14:paraId="00000010">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Non‑Critical Activities (With Slack)</w:t>
      </w:r>
    </w:p>
    <w:p w:rsidR="00000000" w:rsidDel="00000000" w:rsidP="00000000" w:rsidRDefault="00000000" w:rsidRPr="00000000" w14:paraId="00000011">
      <w:pPr>
        <w:numPr>
          <w:ilvl w:val="0"/>
          <w:numId w:val="6"/>
        </w:numPr>
        <w:spacing w:after="0" w:afterAutospacing="0" w:before="24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1.3 - flexible as long as it finishes before 2.1 and 4.3</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2.4 - must finish before 3.3 but can start early</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3.2 - can run in parallel with 3.1; must finish before 3.4</w:t>
      </w:r>
    </w:p>
    <w:p w:rsidR="00000000" w:rsidDel="00000000" w:rsidP="00000000" w:rsidRDefault="00000000" w:rsidRPr="00000000" w14:paraId="00000014">
      <w:pPr>
        <w:numPr>
          <w:ilvl w:val="0"/>
          <w:numId w:val="6"/>
        </w:numPr>
        <w:spacing w:after="240" w:before="0" w:before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5.1 - must finish before 5.2; can overlap with 4.2/4.</w:t>
      </w:r>
    </w:p>
    <w:p w:rsidR="00000000" w:rsidDel="00000000" w:rsidP="00000000" w:rsidRDefault="00000000" w:rsidRPr="00000000" w14:paraId="00000015">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Exercise 3: Screening-Level Cost Benefit Analysis</w:t>
      </w:r>
    </w:p>
    <w:p w:rsidR="00000000" w:rsidDel="00000000" w:rsidP="00000000" w:rsidRDefault="00000000" w:rsidRPr="00000000" w14:paraId="00000016">
      <w:pPr>
        <w:numPr>
          <w:ilvl w:val="0"/>
          <w:numId w:val="1"/>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planning‑level cost–benefit analysis shows an expected Year 1 deficit driven by upfront integration and setup costs, followed by strong positive net benefits from Years 2–5. This early negative cash flow does not indicate that the subsystem is uneconomic, because the model compares full greenfield costs against incremental operational benefits rather than the essential value of having a functioning security system. Since the subsystem is mission‑critical for a federal facility, the baseline understates important non‑monetized benefits such as improved security posture, operational reliability, and regulatory compliance.</w:t>
      </w:r>
    </w:p>
    <w:p w:rsidR="00000000" w:rsidDel="00000000" w:rsidP="00000000" w:rsidRDefault="00000000" w:rsidRPr="00000000" w14:paraId="00000017">
      <w:pPr>
        <w:numPr>
          <w:ilvl w:val="0"/>
          <w:numId w:val="1"/>
        </w:numPr>
        <w:spacing w:after="240" w:before="0" w:before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Even with this limitation, the analysis provides useful insight into cost drivers and trade‑offs. Lifecycle costs are dominated by recurring SaaS licensing, cloud compute, and storage, while monetized benefits are driven by avoided breach costs, reduced downtime, and compliance‑related savings. The key trade‑off is that ongoing OpEx is required to sustain high security and reliability, but these expenditures materially reduce cyber risk and support resilient 24/7 operations at the CSA facility.</w:t>
      </w:r>
    </w:p>
    <w:p w:rsidR="00000000" w:rsidDel="00000000" w:rsidP="00000000" w:rsidRDefault="00000000" w:rsidRPr="00000000" w14:paraId="00000018">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Exercise 4: Subsystem Interface Alignment</w:t>
      </w:r>
    </w:p>
    <w:p w:rsidR="00000000" w:rsidDel="00000000" w:rsidP="00000000" w:rsidRDefault="00000000" w:rsidRPr="00000000" w14:paraId="00000019">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Key assumptions affecting other subsystems: </w:t>
      </w:r>
      <w:r w:rsidDel="00000000" w:rsidR="00000000" w:rsidRPr="00000000">
        <w:rPr>
          <w:rFonts w:ascii="Arial Narrow" w:cs="Arial Narrow" w:eastAsia="Arial Narrow" w:hAnsi="Arial Narrow"/>
          <w:sz w:val="24"/>
          <w:szCs w:val="24"/>
          <w:rtl w:val="0"/>
        </w:rPr>
        <w:t xml:space="preserve">24/7 video ingestion requiring approx. 135 CPU-hours/day and 660 kWh/day, impacting electrical load and backup power; Cloud‑based storage/processing influencing bandwidth, latency, and electrical planning; 75‑day retention driving storage and cost requirements.</w:t>
      </w:r>
    </w:p>
    <w:p w:rsidR="00000000" w:rsidDel="00000000" w:rsidP="00000000" w:rsidRDefault="00000000" w:rsidRPr="00000000" w14:paraId="0000001A">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Key assumptions about the facility:</w:t>
      </w:r>
      <w:r w:rsidDel="00000000" w:rsidR="00000000" w:rsidRPr="00000000">
        <w:rPr>
          <w:rFonts w:ascii="Arial Narrow" w:cs="Arial Narrow" w:eastAsia="Arial Narrow" w:hAnsi="Arial Narrow"/>
          <w:sz w:val="24"/>
          <w:szCs w:val="24"/>
          <w:rtl w:val="0"/>
        </w:rPr>
        <w:t xml:space="preserve"> 10,000-20,000 m² secure, 24/7 mission‑critical facility; Greater than 99.999% availability for security‑critical services; Hybrid cloud/on‑prem architecture with recurring OpEx.</w:t>
      </w:r>
    </w:p>
    <w:p w:rsidR="00000000" w:rsidDel="00000000" w:rsidP="00000000" w:rsidRDefault="00000000" w:rsidRPr="00000000" w14:paraId="0000001B">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Dependencies and inconsistencies identified: </w:t>
      </w:r>
      <w:r w:rsidDel="00000000" w:rsidR="00000000" w:rsidRPr="00000000">
        <w:rPr>
          <w:rFonts w:ascii="Arial Narrow" w:cs="Arial Narrow" w:eastAsia="Arial Narrow" w:hAnsi="Arial Narrow"/>
          <w:sz w:val="24"/>
          <w:szCs w:val="24"/>
          <w:rtl w:val="0"/>
        </w:rPr>
        <w:t xml:space="preserve">Camera density varies (25–46 m² per camera; facility size 10,000–30,000 m²), affecting camera count, storage, compute, and bandwidth; Storage volume differs (40–240 GB/day per camera), impacting cost and compute load; Availability assumptions conflict (99.999% vs. 86 hours/year outage); Cost baselines differ ($30/TB, $100 cameras vs. higher values elsewhere).</w:t>
      </w:r>
    </w:p>
    <w:p w:rsidR="00000000" w:rsidDel="00000000" w:rsidP="00000000" w:rsidRDefault="00000000" w:rsidRPr="00000000" w14:paraId="0000001C">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Agreed‑upon common baseline</w:t>
      </w:r>
    </w:p>
    <w:p w:rsidR="00000000" w:rsidDel="00000000" w:rsidP="00000000" w:rsidRDefault="00000000" w:rsidRPr="00000000" w14:paraId="0000001D">
      <w:pPr>
        <w:numPr>
          <w:ilvl w:val="0"/>
          <w:numId w:val="5"/>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20,000 m² facility; 40 m² per camera; 40 GB/day; 99.999% availability; ~5.26 minutes/year outage; $30/TB storage; $100 cameras.</w:t>
      </w:r>
    </w:p>
    <w:p w:rsidR="00000000" w:rsidDel="00000000" w:rsidP="00000000" w:rsidRDefault="00000000" w:rsidRPr="00000000" w14:paraId="0000001E">
      <w:pPr>
        <w:spacing w:after="240" w:befor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Model modifications</w:t>
      </w:r>
    </w:p>
    <w:p w:rsidR="00000000" w:rsidDel="00000000" w:rsidP="00000000" w:rsidRDefault="00000000" w:rsidRPr="00000000" w14:paraId="0000001F">
      <w:pPr>
        <w:numPr>
          <w:ilvl w:val="0"/>
          <w:numId w:val="2"/>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Recalculate camera count using 40 m² coverage.</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storage and compute loads to 40 GB/day per camera.</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Revise availability modelling to 99.999% with ~5.26 minutes/year outage.</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Adjust OpEx using $30/TB and $100 per camera.</w:t>
      </w:r>
    </w:p>
    <w:p w:rsidR="00000000" w:rsidDel="00000000" w:rsidP="00000000" w:rsidRDefault="00000000" w:rsidRPr="00000000" w14:paraId="00000023">
      <w:pPr>
        <w:numPr>
          <w:ilvl w:val="0"/>
          <w:numId w:val="2"/>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Update compute and network assumptions based on new camera count and data rate.</w:t>
      </w:r>
    </w:p>
    <w:p w:rsidR="00000000" w:rsidDel="00000000" w:rsidP="00000000" w:rsidRDefault="00000000" w:rsidRPr="00000000" w14:paraId="00000024">
      <w:pPr>
        <w:spacing w:after="8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after="80" w:lineRule="auto"/>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References</w:t>
      </w:r>
    </w:p>
    <w:p w:rsidR="00000000" w:rsidDel="00000000" w:rsidP="00000000" w:rsidRDefault="00000000" w:rsidRPr="00000000" w14:paraId="00000026">
      <w:pPr>
        <w:spacing w:after="240" w:before="240" w:lineRule="auto"/>
        <w:ind w:left="580" w:hanging="2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“PMBOK GUIDE | Project Management Institute,” Tegnum, https://www.pmi.org/standards/pmbok (accessed Jan. 26, 2026). </w:t>
      </w:r>
    </w:p>
    <w:p w:rsidR="00000000" w:rsidDel="00000000" w:rsidP="00000000" w:rsidRDefault="00000000" w:rsidRPr="00000000" w14:paraId="00000027">
      <w:pPr>
        <w:spacing w:after="240" w:before="240" w:lineRule="auto"/>
        <w:ind w:left="580" w:hanging="2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H. Kerzner, “Project management a systems approach to planning- ...,” NIBM: The City University, https://nibmehub.com/opac-service/pdf/read/Project%20Management%20A%20Systems%20Approach%20to%20Planning-%20Scheduling-%20and%20Controlling%20by%20Harold%20Kerzner.pdf (accessed Jan. 26, 2026). </w:t>
      </w:r>
    </w:p>
    <w:p w:rsidR="00000000" w:rsidDel="00000000" w:rsidP="00000000" w:rsidRDefault="00000000" w:rsidRPr="00000000" w14:paraId="00000028">
      <w:pPr>
        <w:spacing w:after="240" w:before="240" w:lineRule="auto"/>
        <w:ind w:left="580" w:hanging="2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P. S. and P. C. Government of Canada, “Procurement Practice Review of Public Services and Procurement Canada new,” Procurement practice review of Public Services and Procurement Canada - - Office of the Procurement Ombudsman, https://opo-boa.gc.ca/praapp-prorev/2023/epa-ppr-05-2023-eng.html (accessed Jan. 26, 2026). </w:t>
      </w:r>
    </w:p>
    <w:p w:rsidR="00000000" w:rsidDel="00000000" w:rsidP="00000000" w:rsidRDefault="00000000" w:rsidRPr="00000000" w14:paraId="00000029">
      <w:pPr>
        <w:spacing w:after="240" w:before="240" w:lineRule="auto"/>
        <w:ind w:left="580" w:hanging="2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“IEEE SA - ISO/IEC/IEEE International Standard - Systems and software engineering--System Life Cycle Processes,” IEEE Standards Association, https://standards.ieee.org/ieee/15288/10424/ (accessed Jan. 26, 2026). </w:t>
      </w:r>
    </w:p>
    <w:p w:rsidR="00000000" w:rsidDel="00000000" w:rsidP="00000000" w:rsidRDefault="00000000" w:rsidRPr="00000000" w14:paraId="0000002A">
      <w:pPr>
        <w:spacing w:after="240" w:before="240" w:lineRule="auto"/>
        <w:ind w:left="580" w:hanging="2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C. S. E. Canada, “It Security Risk Management: A lifecycle approach (ITSG-33),” Canadian Centre for Cyber Security, https://www.cyber.gc.ca/en/guidance/it-security-risk-management-lifecycle-approach-itsg-33 (accessed Jan. 26, 2026). </w:t>
      </w:r>
    </w:p>
    <w:p w:rsidR="00000000" w:rsidDel="00000000" w:rsidP="00000000" w:rsidRDefault="00000000" w:rsidRPr="00000000" w14:paraId="0000002B">
      <w:pPr>
        <w:spacing w:after="240" w:before="240" w:lineRule="auto"/>
        <w:ind w:left="580" w:hanging="2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580" w:hanging="2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after="80" w:lineRule="auto"/>
        <w:ind w:left="0" w:firstLine="0"/>
        <w:rPr>
          <w:rFonts w:ascii="Arial Narrow" w:cs="Arial Narrow" w:eastAsia="Arial Narrow" w:hAnsi="Arial Narrow"/>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Full Name: Tridib Banik</w:t>
    </w:r>
  </w:p>
  <w:p w:rsidR="00000000" w:rsidDel="00000000" w:rsidP="00000000" w:rsidRDefault="00000000" w:rsidRPr="00000000" w14:paraId="0000002F">
    <w:pPr>
      <w:jc w:val="right"/>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Student Number: 400514461</w:t>
    </w:r>
  </w:p>
  <w:p w:rsidR="00000000" w:rsidDel="00000000" w:rsidP="00000000" w:rsidRDefault="00000000" w:rsidRPr="00000000" w14:paraId="00000030">
    <w:pPr>
      <w:jc w:val="right"/>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Mac ID: banikt</w:t>
    </w:r>
  </w:p>
  <w:p w:rsidR="00000000" w:rsidDel="00000000" w:rsidP="00000000" w:rsidRDefault="00000000" w:rsidRPr="00000000" w14:paraId="00000031">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Group and Tutorial: Group 7, T01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