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pPr>
        <w:pStyle w:val="Heading2"/>
      </w:pPr>
      <w:r>
        <w:t>Remote Work Policy</w:t>
      </w:r>
    </w:p>
    <w:p>
      <w:r>
        <w:t>Employees may work remotely up to three days per week with manager approval.</w:t>
      </w:r>
    </w:p>
    <w:p>
      <w:pPr>
        <w:pStyle w:val="Heading2"/>
      </w:pPr>
      <w:r>
        <w:t>Expense Policy</w:t>
      </w:r>
    </w:p>
    <w:p>
      <w:r>
        <w:t>Meals during business travel are reimbursed up to 75 USD per day with receipts.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