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Robust Face Presentation Attack Detection for eKYC</w:t>
        <w:br/>
        <w:t>Under Image Quality Degradations</w:t>
      </w:r>
    </w:p>
    <w:p>
      <w:pPr>
        <w:jc w:val="center"/>
      </w:pPr>
      <w:r>
        <w:rPr>
          <w:sz w:val="22"/>
        </w:rPr>
        <w:t>[Author Names]</w:t>
      </w:r>
    </w:p>
    <w:p>
      <w:pPr>
        <w:spacing w:after="160"/>
      </w:pPr>
      <w:r>
        <w:rPr>
          <w:b/>
        </w:rPr>
        <w:t xml:space="preserve">Abstract. </w:t>
      </w:r>
      <w:r>
        <w:t>Face presentation attack detection (PAD) safeguards facial electronic know-your-customer (eKYC) systems, yet real capture conditions degrade input quality through compression, resolution loss, blur, noise, and illumination changes. We empirically study how a lightweight MobileNetV2 PAD model responds to such degradations and whether quality-aware augmentation improves robustness. A baseline and a robust model were trained identically on a 203,215-image CelebA-Spoof subset (subject-disjoint split: 142,250/20,322/40,643); the robust model additionally applied randomized JPEG, resize, blur, noise, and brightness augmentations. Both models were evaluated, using best-validation-epoch weights (epoch 18), on the same fixed test set across sixteen degradation conditions. On clean inputs the models are essentially equal (F1 0.9868 vs 0.9831; ACER 0.0211 vs 0.0256). Averaged over degradations, the robust model raises mean F1 0.9226→0.9743 and cuts mean ACER 0.1153→0.0390; worst-case F1 improves 0.7985→0.9446 and worst-case ACER 0.3310→0.1012, at a negligible clean-test cost (F1 -0.0037, ROC-AUC -0.0008).</w:t>
      </w:r>
    </w:p>
    <w:p>
      <w:pPr>
        <w:spacing w:after="160"/>
      </w:pPr>
      <w:r>
        <w:rPr>
          <w:b/>
        </w:rPr>
        <w:t xml:space="preserve">Keywords. </w:t>
      </w:r>
      <w:r>
        <w:t>face anti-spoofing, face presentation attack detection, image quality degradation, MobileNetV2, quality-aware augmentation, robust face PAD</w:t>
      </w:r>
    </w:p>
    <w:p>
      <w:pPr>
        <w:pStyle w:val="Heading1"/>
      </w:pPr>
      <w:r>
        <w:t>1. Introduction</w:t>
      </w:r>
    </w:p>
    <w:p>
      <w:pPr>
        <w:pStyle w:val="Heading2"/>
      </w:pPr>
      <w:r>
        <w:t>1.1 Face PAD in eKYC and Image Quality</w:t>
      </w:r>
    </w:p>
    <w:p>
      <w:pPr>
        <w:jc w:val="both"/>
      </w:pPr>
      <w:r>
        <w:rPr>
          <w:sz w:val="22"/>
        </w:rPr>
        <w:t xml:space="preserve">Remote identity verification (eKYC) is a standard step in onboarding users for financial services. Its central component is face presentation attack detection (PAD): classifying a captured face as bona fide or as a presentation attack such as a printed photo, a replayed screen, or a mask </w:t>
      </w:r>
      <w:hyperlink w:anchor="ref1" w:history="1">
        <w:r>
          <w:rPr>
            <w:rFonts w:ascii="Times New Roman" w:hAnsi="Times New Roman"/>
            <w:color w:val="0563C1"/>
            <w:sz w:val="22"/>
            <w:szCs w:val="22"/>
          </w:rPr>
          <w:t xml:space="preserve">[1]</w:t>
        </w:r>
      </w:hyperlink>
      <w:r>
        <w:rPr>
          <w:sz w:val="22"/>
        </w:rPr>
        <w:t xml:space="preserve">. PAD failures directly enable identity fraud, so reliability under realistic capture conditions is of practical importance </w:t>
      </w:r>
      <w:hyperlink w:anchor="ref1" w:history="1">
        <w:r>
          <w:rPr>
            <w:rFonts w:ascii="Times New Roman" w:hAnsi="Times New Roman"/>
            <w:color w:val="0563C1"/>
            <w:sz w:val="22"/>
            <w:szCs w:val="22"/>
          </w:rPr>
          <w:t xml:space="preserve">[1]</w:t>
        </w:r>
      </w:hyperlink>
      <w:r>
        <w:rPr>
          <w:sz w:val="22"/>
        </w:rPr>
        <w:t xml:space="preserve">, </w:t>
      </w:r>
      <w:hyperlink w:anchor="ref2" w:history="1">
        <w:r>
          <w:rPr>
            <w:rFonts w:ascii="Times New Roman" w:hAnsi="Times New Roman"/>
            <w:color w:val="0563C1"/>
            <w:sz w:val="22"/>
            <w:szCs w:val="22"/>
          </w:rPr>
          <w:t xml:space="preserve">[2]</w:t>
        </w:r>
      </w:hyperlink>
      <w:r>
        <w:rPr>
          <w:sz w:val="22"/>
        </w:rPr>
        <w:t xml:space="preserve">. Detectors rely on subtle cues such as micro-texture and color statistics </w:t>
      </w:r>
      <w:hyperlink w:anchor="ref3" w:history="1">
        <w:r>
          <w:rPr>
            <w:rFonts w:ascii="Times New Roman" w:hAnsi="Times New Roman"/>
            <w:color w:val="0563C1"/>
            <w:sz w:val="22"/>
            <w:szCs w:val="22"/>
          </w:rPr>
          <w:t xml:space="preserve">[3]</w:t>
        </w:r>
      </w:hyperlink>
      <w:r>
        <w:rPr>
          <w:sz w:val="22"/>
        </w:rPr>
        <w:t xml:space="preserve">, </w:t>
      </w:r>
      <w:hyperlink w:anchor="ref4" w:history="1">
        <w:r>
          <w:rPr>
            <w:rFonts w:ascii="Times New Roman" w:hAnsi="Times New Roman"/>
            <w:color w:val="0563C1"/>
            <w:sz w:val="22"/>
            <w:szCs w:val="22"/>
          </w:rPr>
          <w:t xml:space="preserve">[4]</w:t>
        </w:r>
      </w:hyperlink>
      <w:r>
        <w:rPr>
          <w:sz w:val="22"/>
        </w:rPr>
        <w:t xml:space="preserve"> — precisely the signal components most sensitive to quality loss. In deployed pipelines, captured images undergo camera compression, resolution limits, motion blur, sensor noise, and illumination variation, all of which can attenuate the very artifacts PAD models exploit.</w:t>
      </w:r>
    </w:p>
    <w:p>
      <w:pPr>
        <w:pStyle w:val="Heading2"/>
      </w:pPr>
      <w:r>
        <w:t>1.2 Motivation, Research Questions, and Contributions</w:t>
      </w:r>
    </w:p>
    <w:p>
      <w:pPr>
        <w:jc w:val="both"/>
      </w:pPr>
      <w:r>
        <w:rPr>
          <w:sz w:val="22"/>
        </w:rPr>
        <w:t xml:space="preserve">Deep PAD models are typically trained on curated datasets and evaluated on clean, well-aligned images, yet robustness to quality degradation is not guaranteed by strong clean-test performance </w:t>
      </w:r>
      <w:hyperlink w:anchor="ref11" w:history="1">
        <w:r>
          <w:rPr>
            <w:rFonts w:ascii="Times New Roman" w:hAnsi="Times New Roman"/>
            <w:color w:val="0563C1"/>
            <w:sz w:val="22"/>
            <w:szCs w:val="22"/>
          </w:rPr>
          <w:t xml:space="preserve">[11]</w:t>
        </w:r>
      </w:hyperlink>
      <w:r>
        <w:rPr>
          <w:sz w:val="22"/>
        </w:rPr>
        <w:t xml:space="preserve">. A practical and inexpensive remedy is quality-aware augmentation: during training, each image is randomly transformed with simulated quality degradations, so the model learns features that are less dependent on pristine image quality, without any architectural modification. This work investigates two questions on a controlled 203,215-image subset of CelebA-Spoof </w:t>
      </w:r>
      <w:hyperlink w:anchor="ref5" w:history="1">
        <w:r>
          <w:rPr>
            <w:rFonts w:ascii="Times New Roman" w:hAnsi="Times New Roman"/>
            <w:color w:val="0563C1"/>
            <w:sz w:val="22"/>
            <w:szCs w:val="22"/>
          </w:rPr>
          <w:t xml:space="preserve">[5]</w:t>
        </w:r>
      </w:hyperlink>
      <w:r>
        <w:rPr>
          <w:sz w:val="22"/>
        </w:rPr>
        <w:t>: (i) how does a lightweight MobileNetV2 PAD baseline degrade as input quality decreases under JPEG compression, resolution reduction, blur, noise, and brightness changes; and (ii) does a robust model trained with quality-aware augmentation maintain higher detection performance under the same degradations while preserving clean-test performance? The contributions are: (1) a reproducible MobileNetV2 baseline on this subset; (2) a robust-training pipeline of five quality augmentations applied with controlled probability; (3) a systematic sixteen-condition stress-test protocol on a fixed test set; and (4) a quantitative comparison of baseline and robust models showing improved degradation robustness with negligible clean-test cost.</w:t>
      </w:r>
    </w:p>
    <w:p>
      <w:pPr>
        <w:pStyle w:val="Heading1"/>
      </w:pPr>
      <w:r>
        <w:t>2. Related Work</w:t>
      </w:r>
    </w:p>
    <w:p>
      <w:pPr>
        <w:pStyle w:val="Heading2"/>
      </w:pPr>
      <w:r>
        <w:t>2.1 Texture-Based and Mobile Face PAD</w:t>
      </w:r>
    </w:p>
    <w:p>
      <w:pPr>
        <w:jc w:val="both"/>
      </w:pPr>
      <w:r>
        <w:rPr>
          <w:sz w:val="22"/>
        </w:rPr>
        <w:t xml:space="preserve">Classical PAD methods rely on hand-crafted texture cues: local binary patterns distinguish printed photographs from live faces via micro-texture </w:t>
      </w:r>
      <w:hyperlink w:anchor="ref3" w:history="1">
        <w:r>
          <w:rPr>
            <w:rFonts w:ascii="Times New Roman" w:hAnsi="Times New Roman"/>
            <w:color w:val="0563C1"/>
            <w:sz w:val="22"/>
            <w:szCs w:val="22"/>
          </w:rPr>
          <w:t xml:space="preserve">[3]</w:t>
        </w:r>
      </w:hyperlink>
      <w:r>
        <w:rPr>
          <w:sz w:val="22"/>
        </w:rPr>
        <w:t xml:space="preserve">, and texture descriptors were systematically evaluated for anti-spoofing in </w:t>
      </w:r>
      <w:hyperlink w:anchor="ref4" w:history="1">
        <w:r>
          <w:rPr>
            <w:rFonts w:ascii="Times New Roman" w:hAnsi="Times New Roman"/>
            <w:color w:val="0563C1"/>
            <w:sz w:val="22"/>
            <w:szCs w:val="22"/>
          </w:rPr>
          <w:t xml:space="preserve">[4]</w:t>
        </w:r>
      </w:hyperlink>
      <w:r>
        <w:rPr>
          <w:sz w:val="22"/>
        </w:rPr>
        <w:t xml:space="preserve">. These works established that spoofing artifacts are encoded in fine image statistics, which also makes them vulnerable to quality loss. Mobile capture settings were addressed by the OULU-NPU database </w:t>
      </w:r>
      <w:hyperlink w:anchor="ref6" w:history="1">
        <w:r>
          <w:rPr>
            <w:rFonts w:ascii="Times New Roman" w:hAnsi="Times New Roman"/>
            <w:color w:val="0563C1"/>
            <w:sz w:val="22"/>
            <w:szCs w:val="22"/>
          </w:rPr>
          <w:t xml:space="preserve">[6]</w:t>
        </w:r>
      </w:hyperlink>
      <w:r>
        <w:rPr>
          <w:sz w:val="22"/>
        </w:rPr>
        <w:t xml:space="preserve">, which provides real-world variations in illumination and capture devices, and smartphone spoof detection </w:t>
      </w:r>
      <w:hyperlink w:anchor="ref2" w:history="1">
        <w:r>
          <w:rPr>
            <w:rFonts w:ascii="Times New Roman" w:hAnsi="Times New Roman"/>
            <w:color w:val="0563C1"/>
            <w:sz w:val="22"/>
            <w:szCs w:val="22"/>
          </w:rPr>
          <w:t xml:space="preserve">[2]</w:t>
        </w:r>
      </w:hyperlink>
      <w:r>
        <w:rPr>
          <w:sz w:val="22"/>
        </w:rPr>
        <w:t xml:space="preserve"> highlighted the deployment constraints that motivate lightweight solutions.</w:t>
      </w:r>
    </w:p>
    <w:p>
      <w:pPr>
        <w:pStyle w:val="Heading2"/>
      </w:pPr>
      <w:r>
        <w:t>2.2 Deep Binary Supervision and Lightweight Architectures</w:t>
      </w:r>
    </w:p>
    <w:p>
      <w:pPr>
        <w:jc w:val="both"/>
      </w:pPr>
      <w:r>
        <w:rPr>
          <w:sz w:val="22"/>
        </w:rPr>
        <w:t xml:space="preserve">Deep learning improved accuracy over hand-crafted features: binary supervision was shown sufficient for anti-spoofing </w:t>
      </w:r>
      <w:hyperlink w:anchor="ref7" w:history="1">
        <w:r>
          <w:rPr>
            <w:rFonts w:ascii="Times New Roman" w:hAnsi="Times New Roman"/>
            <w:color w:val="0563C1"/>
            <w:sz w:val="22"/>
            <w:szCs w:val="22"/>
          </w:rPr>
          <w:t xml:space="preserve">[7]</w:t>
        </w:r>
      </w:hyperlink>
      <w:r>
        <w:rPr>
          <w:sz w:val="22"/>
        </w:rPr>
        <w:t xml:space="preserve">, including pixel-wise binary supervision </w:t>
      </w:r>
      <w:hyperlink w:anchor="ref8" w:history="1">
        <w:r>
          <w:rPr>
            <w:rFonts w:ascii="Times New Roman" w:hAnsi="Times New Roman"/>
            <w:color w:val="0563C1"/>
            <w:sz w:val="22"/>
            <w:szCs w:val="22"/>
          </w:rPr>
          <w:t xml:space="preserve">[8]</w:t>
        </w:r>
      </w:hyperlink>
      <w:r>
        <w:rPr>
          <w:sz w:val="22"/>
        </w:rPr>
        <w:t xml:space="preserve">. Motivated by these results and by deployment constraints, we adopt MobileNetV2 </w:t>
      </w:r>
      <w:hyperlink w:anchor="ref9" w:history="1">
        <w:r>
          <w:rPr>
            <w:rFonts w:ascii="Times New Roman" w:hAnsi="Times New Roman"/>
            <w:color w:val="0563C1"/>
            <w:sz w:val="22"/>
            <w:szCs w:val="22"/>
          </w:rPr>
          <w:t xml:space="preserve">[9]</w:t>
        </w:r>
      </w:hyperlink>
      <w:r>
        <w:rPr>
          <w:sz w:val="22"/>
        </w:rPr>
        <w:t xml:space="preserve"> as our baseline: its inverted residuals with linear bottlenecks give strong accuracy at low parameter counts </w:t>
      </w:r>
      <w:hyperlink w:anchor="ref10" w:history="1">
        <w:r>
          <w:rPr>
            <w:rFonts w:ascii="Times New Roman" w:hAnsi="Times New Roman"/>
            <w:color w:val="0563C1"/>
            <w:sz w:val="22"/>
            <w:szCs w:val="22"/>
          </w:rPr>
          <w:t xml:space="preserve">[10]</w:t>
        </w:r>
      </w:hyperlink>
      <w:r>
        <w:rPr>
          <w:sz w:val="22"/>
        </w:rPr>
        <w:t xml:space="preserve"> (2,225,153 parameters, 8.62 MB in our configuration).</w:t>
      </w:r>
    </w:p>
    <w:p>
      <w:pPr>
        <w:pStyle w:val="Heading2"/>
      </w:pPr>
      <w:r>
        <w:t>2.3 Corruption Robustness and Data Augmentation</w:t>
      </w:r>
    </w:p>
    <w:p>
      <w:pPr>
        <w:jc w:val="both"/>
      </w:pPr>
      <w:r>
        <w:rPr>
          <w:sz w:val="22"/>
        </w:rPr>
        <w:t xml:space="preserve">Corruption benchmarks show that accuracy degrades substantially under noise and blur even for strong clean-test models </w:t>
      </w:r>
      <w:hyperlink w:anchor="ref11" w:history="1">
        <w:r>
          <w:rPr>
            <w:rFonts w:ascii="Times New Roman" w:hAnsi="Times New Roman"/>
            <w:color w:val="0563C1"/>
            <w:sz w:val="22"/>
            <w:szCs w:val="22"/>
          </w:rPr>
          <w:t xml:space="preserve">[11]</w:t>
        </w:r>
      </w:hyperlink>
      <w:r>
        <w:rPr>
          <w:sz w:val="22"/>
        </w:rPr>
        <w:t xml:space="preserve">. Data augmentation is a standard regularizer </w:t>
      </w:r>
      <w:hyperlink w:anchor="ref12" w:history="1">
        <w:r>
          <w:rPr>
            <w:rFonts w:ascii="Times New Roman" w:hAnsi="Times New Roman"/>
            <w:color w:val="0563C1"/>
            <w:sz w:val="22"/>
            <w:szCs w:val="22"/>
          </w:rPr>
          <w:t xml:space="preserve">[12]</w:t>
        </w:r>
      </w:hyperlink>
      <w:r>
        <w:rPr>
          <w:sz w:val="22"/>
        </w:rPr>
        <w:t xml:space="preserve">, and learned policies such as AutoAugment demonstrate that augmentation choices strongly affect generalization </w:t>
      </w:r>
      <w:hyperlink w:anchor="ref13" w:history="1">
        <w:r>
          <w:rPr>
            <w:rFonts w:ascii="Times New Roman" w:hAnsi="Times New Roman"/>
            <w:color w:val="0563C1"/>
            <w:sz w:val="22"/>
            <w:szCs w:val="22"/>
          </w:rPr>
          <w:t xml:space="preserve">[13]</w:t>
        </w:r>
      </w:hyperlink>
      <w:r>
        <w:rPr>
          <w:sz w:val="22"/>
        </w:rPr>
        <w:t xml:space="preserve">. Following the same principle, we use augmentation not as a generic regularizer but as explicit quality simulation. CelebA-Spoof </w:t>
      </w:r>
      <w:hyperlink w:anchor="ref5" w:history="1">
        <w:r>
          <w:rPr>
            <w:rFonts w:ascii="Times New Roman" w:hAnsi="Times New Roman"/>
            <w:color w:val="0563C1"/>
            <w:sz w:val="22"/>
            <w:szCs w:val="22"/>
          </w:rPr>
          <w:t xml:space="preserve">[5]</w:t>
        </w:r>
      </w:hyperlink>
      <w:r>
        <w:rPr>
          <w:sz w:val="22"/>
        </w:rPr>
        <w:t xml:space="preserve"> provides 625,537 images from 10,177 subjects; its challenge report </w:t>
      </w:r>
      <w:hyperlink w:anchor="ref14" w:history="1">
        <w:r>
          <w:rPr>
            <w:rFonts w:ascii="Times New Roman" w:hAnsi="Times New Roman"/>
            <w:color w:val="0563C1"/>
            <w:sz w:val="22"/>
            <w:szCs w:val="22"/>
          </w:rPr>
          <w:t xml:space="preserve">[14]</w:t>
        </w:r>
      </w:hyperlink>
      <w:r>
        <w:rPr>
          <w:sz w:val="22"/>
        </w:rPr>
        <w:t xml:space="preserve"> summarizes protocols and baselines. ImageNet statistics are used for input normalization </w:t>
      </w:r>
      <w:hyperlink w:anchor="ref15" w:history="1">
        <w:r>
          <w:rPr>
            <w:rFonts w:ascii="Times New Roman" w:hAnsi="Times New Roman"/>
            <w:color w:val="0563C1"/>
            <w:sz w:val="22"/>
            <w:szCs w:val="22"/>
          </w:rPr>
          <w:t xml:space="preserve">[15]</w:t>
        </w:r>
      </w:hyperlink>
      <w:r>
        <w:rPr>
          <w:sz w:val="22"/>
        </w:rPr>
        <w:t>.</w:t>
      </w:r>
    </w:p>
    <w:p>
      <w:pPr>
        <w:pStyle w:val="Heading1"/>
      </w:pPr>
      <w:r>
        <w:t>3. Methodology</w:t>
      </w:r>
    </w:p>
    <w:p>
      <w:pPr>
        <w:pStyle w:val="Heading2"/>
      </w:pPr>
      <w:r>
        <w:t>3.1 Pipeline and Dataset</w:t>
      </w:r>
    </w:p>
    <w:p>
      <w:pPr>
        <w:jc w:val="both"/>
      </w:pPr>
      <w:r>
        <w:rPr>
          <w:sz w:val="22"/>
        </w:rPr>
        <w:t xml:space="preserve">The pipeline has six stages: (i) dataset preparation and a subject-disjoint train/validation/test split (seed 123) with a fixed test set; (ii) face crop (bounding box + 10% margin), resizing to 224×224, ImageNet normalization </w:t>
      </w:r>
      <w:hyperlink w:anchor="ref15" w:history="1">
        <w:r>
          <w:rPr>
            <w:rFonts w:ascii="Times New Roman" w:hAnsi="Times New Roman"/>
            <w:color w:val="0563C1"/>
            <w:sz w:val="22"/>
            <w:szCs w:val="22"/>
          </w:rPr>
          <w:t xml:space="preserve">[15]</w:t>
        </w:r>
      </w:hyperlink>
      <w:r>
        <w:rPr>
          <w:sz w:val="22"/>
        </w:rPr>
        <w:t>; (iii) MobileNetV2 binary training, clean (E01) or quality-augmented (E07); (iv) selection of the best validation-loss checkpoint; (v) evaluation on the clean test set; and (vi) stress testing under sixteen degradation conditions without retraining (Fig. 1).</w:t>
      </w:r>
    </w:p>
    <w:p>
      <w:pPr>
        <w:spacing w:after="0"/>
        <w:jc w:val="center"/>
      </w:pPr>
      <w:r>
        <w:drawing>
          <wp:inline xmlns:a="http://schemas.openxmlformats.org/drawingml/2006/main" xmlns:pic="http://schemas.openxmlformats.org/drawingml/2006/picture">
            <wp:extent cx="2743200" cy="3386138"/>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2743200" cy="3386138"/>
                    </a:xfrm>
                    <a:prstGeom prst="rect"/>
                  </pic:spPr>
                </pic:pic>
              </a:graphicData>
            </a:graphic>
          </wp:inline>
        </w:drawing>
      </w:r>
    </w:p>
    <w:p>
      <w:pPr>
        <w:spacing w:after="160" w:before="40"/>
        <w:jc w:val="center"/>
      </w:pPr>
      <w:r>
        <w:rPr>
          <w:i/>
          <w:sz w:val="18"/>
        </w:rPr>
        <w:t>Fig. 1. Overall pipeline: CelebA-Spoof subset (203,215) → subject-disjoint split (142,250/20,322/40,643) → face crop + 224×224 + ImageNet normalization → MobileNetV2 (2,225,153 params) → E01 clean / E07 quality-augmented training → best-val checkpoint (epoch 18) → fixed clean test (40,643) → 16 degradation conditions → metrics (F1, ROC-AUC, PR-AUC, APCER, BPCER, ACER).</w:t>
      </w:r>
    </w:p>
    <w:p>
      <w:pPr>
        <w:jc w:val="both"/>
      </w:pPr>
      <w:r>
        <w:rPr>
          <w:sz w:val="22"/>
        </w:rPr>
        <w:t xml:space="preserve">The dataset is a public HuggingFace mirror (Ar4ikov/celebA_spoof) of CelebA-Spoof </w:t>
      </w:r>
      <w:hyperlink w:anchor="ref5" w:history="1">
        <w:r>
          <w:rPr>
            <w:rFonts w:ascii="Times New Roman" w:hAnsi="Times New Roman"/>
            <w:color w:val="0563C1"/>
            <w:sz w:val="22"/>
            <w:szCs w:val="22"/>
          </w:rPr>
          <w:t xml:space="preserve">[5]</w:t>
        </w:r>
      </w:hyperlink>
      <w:r>
        <w:rPr>
          <w:sz w:val="22"/>
        </w:rPr>
        <w:t>. A controlled subset of 203,215 images (70,288 live, 132,927 spoof) was downloaded and split subject-disjointly with seed 123 into 142,250 training, 20,322 validation, and 40,643 test images; no subject appears in more than one partition (subject identity derived from image filename prefixes). The split was fixed before training and never modified, and both models were evaluated on exactly these 40,643 test images. Only binary labels are available in this mirror.</w:t>
      </w:r>
    </w:p>
    <w:p>
      <w:pPr>
        <w:pStyle w:val="Heading2"/>
      </w:pPr>
      <w:r>
        <w:t>3.2 Model and Training Procedure</w:t>
      </w:r>
    </w:p>
    <w:p>
      <w:pPr>
        <w:jc w:val="both"/>
      </w:pPr>
      <w:r>
        <w:rPr>
          <w:sz w:val="22"/>
        </w:rPr>
        <w:t xml:space="preserve">The PAD model is MobileNetV2 </w:t>
      </w:r>
      <w:hyperlink w:anchor="ref9" w:history="1">
        <w:r>
          <w:rPr>
            <w:rFonts w:ascii="Times New Roman" w:hAnsi="Times New Roman"/>
            <w:color w:val="0563C1"/>
            <w:sz w:val="22"/>
            <w:szCs w:val="22"/>
          </w:rPr>
          <w:t xml:space="preserve">[9]</w:t>
        </w:r>
      </w:hyperlink>
      <w:r>
        <w:rPr>
          <w:sz w:val="22"/>
        </w:rPr>
        <w:t xml:space="preserve"> with the classifier replaced by a single logit (2,225,153 parameters, 8.62 MB); a sigmoid yields the spoof probability, and training uses BCEWithLogitsLoss without class weighting. Both models are trained for 20 epochs with batch size 64, Adam (learning rate 1e-4, weight decay 1e-5), and seed 123 on an NVIDIA GeForce RTX 5060 Laptop GPU. Training took 18,111 s (5.0 h) for E01 and 34,404 s (9.6 h) for E07. The checkpoint with the lowest validation loss is retained — epoch 18 for both models (validation loss 0.0586 / 0.0681) — and every metric reported in this paper is computed with these best-epoch weights.</w:t>
      </w:r>
    </w:p>
    <w:p>
      <w:pPr>
        <w:pStyle w:val="Heading2"/>
      </w:pPr>
      <w:r>
        <w:t>3.3 Robust Training (Quality-Aware Augmentation)</w:t>
      </w:r>
    </w:p>
    <w:p>
      <w:pPr>
        <w:jc w:val="both"/>
      </w:pPr>
      <w:r>
        <w:rPr>
          <w:sz w:val="22"/>
        </w:rPr>
        <w:t>The robust model differs from the baseline only in training-time augmentation. Five quality degradations are applied to each image independently, each with probability p = 0.3, with severity sampled uniformly from the configured ranges: JPEG quality U[50,90]; resize scale U[0.5,1.0]; Gaussian blur sigma U[0.5,2.0]; Gaussian noise std U[0.005,0.03]; brightness factor U[0.7,1.3]. Crop is disabled so that the augmentation set matches the five degradation types used in evaluation. Multiple degradations can stack on the same image; the number of stacked augmentations follows B(5, 0.3), so 16.8% of images remain clean and 1.5 augmentations are expected per image (Table I).</w:t>
      </w:r>
    </w:p>
    <w:p>
      <w:pPr>
        <w:spacing w:after="160" w:before="40"/>
        <w:jc w:val="center"/>
      </w:pPr>
      <w:r>
        <w:rPr>
          <w:i/>
          <w:sz w:val="18"/>
        </w:rPr>
        <w:t>Table I. Augmentation stacking distribution (B(5, 0.3)).</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b/>
                <w:sz w:val="18"/>
              </w:rPr>
              <w:t>Augmentations per image</w:t>
            </w:r>
          </w:p>
        </w:tc>
        <w:tc>
          <w:tcPr>
            <w:tcW w:type="dxa" w:w="1337"/>
          </w:tcPr>
          <w:p>
            <w:pPr>
              <w:jc w:val="center"/>
            </w:pPr>
            <w:r>
              <w:rPr>
                <w:b/>
                <w:sz w:val="18"/>
              </w:rPr>
              <w:t>0</w:t>
            </w:r>
          </w:p>
        </w:tc>
        <w:tc>
          <w:tcPr>
            <w:tcW w:type="dxa" w:w="1337"/>
          </w:tcPr>
          <w:p>
            <w:pPr>
              <w:jc w:val="center"/>
            </w:pPr>
            <w:r>
              <w:rPr>
                <w:b/>
                <w:sz w:val="18"/>
              </w:rPr>
              <w:t>1</w:t>
            </w:r>
          </w:p>
        </w:tc>
        <w:tc>
          <w:tcPr>
            <w:tcW w:type="dxa" w:w="1337"/>
          </w:tcPr>
          <w:p>
            <w:pPr>
              <w:jc w:val="center"/>
            </w:pPr>
            <w:r>
              <w:rPr>
                <w:b/>
                <w:sz w:val="18"/>
              </w:rPr>
              <w:t>2</w:t>
            </w:r>
          </w:p>
        </w:tc>
        <w:tc>
          <w:tcPr>
            <w:tcW w:type="dxa" w:w="1337"/>
          </w:tcPr>
          <w:p>
            <w:pPr>
              <w:jc w:val="center"/>
            </w:pPr>
            <w:r>
              <w:rPr>
                <w:b/>
                <w:sz w:val="18"/>
              </w:rPr>
              <w:t>3</w:t>
            </w:r>
          </w:p>
        </w:tc>
        <w:tc>
          <w:tcPr>
            <w:tcW w:type="dxa" w:w="1337"/>
          </w:tcPr>
          <w:p>
            <w:pPr>
              <w:jc w:val="center"/>
            </w:pPr>
            <w:r>
              <w:rPr>
                <w:b/>
                <w:sz w:val="18"/>
              </w:rPr>
              <w:t>4</w:t>
            </w:r>
          </w:p>
        </w:tc>
        <w:tc>
          <w:tcPr>
            <w:tcW w:type="dxa" w:w="1337"/>
          </w:tcPr>
          <w:p>
            <w:pPr>
              <w:jc w:val="center"/>
            </w:pPr>
            <w:r>
              <w:rPr>
                <w:b/>
                <w:sz w:val="18"/>
              </w:rPr>
              <w:t>5</w:t>
            </w:r>
          </w:p>
        </w:tc>
      </w:tr>
      <w:tr>
        <w:tc>
          <w:tcPr>
            <w:tcW w:type="dxa" w:w="1337"/>
          </w:tcPr>
          <w:p>
            <w:pPr>
              <w:jc w:val="left"/>
            </w:pPr>
            <w:r>
              <w:rPr>
                <w:sz w:val="18"/>
              </w:rPr>
              <w:t>Probability</w:t>
            </w:r>
          </w:p>
        </w:tc>
        <w:tc>
          <w:tcPr>
            <w:tcW w:type="dxa" w:w="1337"/>
          </w:tcPr>
          <w:p>
            <w:pPr>
              <w:jc w:val="center"/>
            </w:pPr>
            <w:r>
              <w:rPr>
                <w:sz w:val="18"/>
              </w:rPr>
              <w:t>0.1681</w:t>
            </w:r>
          </w:p>
        </w:tc>
        <w:tc>
          <w:tcPr>
            <w:tcW w:type="dxa" w:w="1337"/>
          </w:tcPr>
          <w:p>
            <w:pPr>
              <w:jc w:val="center"/>
            </w:pPr>
            <w:r>
              <w:rPr>
                <w:sz w:val="18"/>
              </w:rPr>
              <w:t>0.3601</w:t>
            </w:r>
          </w:p>
        </w:tc>
        <w:tc>
          <w:tcPr>
            <w:tcW w:type="dxa" w:w="1337"/>
          </w:tcPr>
          <w:p>
            <w:pPr>
              <w:jc w:val="center"/>
            </w:pPr>
            <w:r>
              <w:rPr>
                <w:sz w:val="18"/>
              </w:rPr>
              <w:t>0.3087</w:t>
            </w:r>
          </w:p>
        </w:tc>
        <w:tc>
          <w:tcPr>
            <w:tcW w:type="dxa" w:w="1337"/>
          </w:tcPr>
          <w:p>
            <w:pPr>
              <w:jc w:val="center"/>
            </w:pPr>
            <w:r>
              <w:rPr>
                <w:sz w:val="18"/>
              </w:rPr>
              <w:t>0.1323</w:t>
            </w:r>
          </w:p>
        </w:tc>
        <w:tc>
          <w:tcPr>
            <w:tcW w:type="dxa" w:w="1337"/>
          </w:tcPr>
          <w:p>
            <w:pPr>
              <w:jc w:val="center"/>
            </w:pPr>
            <w:r>
              <w:rPr>
                <w:sz w:val="18"/>
              </w:rPr>
              <w:t>0.0283</w:t>
            </w:r>
          </w:p>
        </w:tc>
        <w:tc>
          <w:tcPr>
            <w:tcW w:type="dxa" w:w="1337"/>
          </w:tcPr>
          <w:p>
            <w:pPr>
              <w:jc w:val="center"/>
            </w:pPr>
            <w:r>
              <w:rPr>
                <w:sz w:val="18"/>
              </w:rPr>
              <w:t>0.0024</w:t>
            </w:r>
          </w:p>
        </w:tc>
      </w:tr>
    </w:tbl>
    <w:p>
      <w:pPr>
        <w:pStyle w:val="Heading2"/>
      </w:pPr>
      <w:r>
        <w:t>3.4 Evaluation Protocol and Metrics</w:t>
      </w:r>
    </w:p>
    <w:p>
      <w:pPr>
        <w:jc w:val="both"/>
      </w:pPr>
      <w:r>
        <w:rPr>
          <w:sz w:val="22"/>
        </w:rPr>
        <w:t>All evaluations use the fixed 40,643-image test set and a constant decision threshold of 0.5. Degradation evaluation never updates model weights: one deterministic degradation is applied to each test image before the standard evaluation transform, with explicit parameters recorded per experiment, and the identical grid is used for the baseline (E02–E06) and the robust model (E08–E12). With spoof as the positive class, let TP/FP/FN/TN denote the confusion counts at the threshold; Accuracy, Precision, Recall, and F1 are threshold-based, ROC-AUC and PR-AUC are threshold-independent ranking metrics, APCER = FN/(FN+TP) (attacks accepted), BPCER = FP/(FP+TN) (live presentations rejected), and ACER = (APCER+BPCER)/2. Lower APCER/BPCER/ACER is better; higher is better for the other metrics.</w:t>
      </w:r>
    </w:p>
    <w:p>
      <w:pPr>
        <w:pStyle w:val="Heading1"/>
      </w:pPr>
      <w:r>
        <w:t>4. Experimental Setup</w:t>
      </w:r>
    </w:p>
    <w:p>
      <w:pPr>
        <w:jc w:val="both"/>
      </w:pPr>
      <w:r>
        <w:rPr>
          <w:sz w:val="22"/>
        </w:rPr>
        <w:t>Python 3.14.7, PyTorch 2.14.0+cu130, torchvision 0.29.0+cu130, NumPy 2.5.2, Windows 11, RTX 5060 Laptop GPU (8 GB); repository state git commit 296643e1ec9194e4cb5d4c6023fa5e3fd574e40f. Table II summarizes the training configuration. Table III defines the degradation test matrix, whose levels model lossy transfer/storage (JPEG), client-side downscaling (resize), motion/out-of-focus capture (blur), low-light sensor noise (noise), and illumination variation (brightness); Table IV maps each category to its real-world analogue, and Fig. 2 shows degraded examples.</w:t>
      </w:r>
    </w:p>
    <w:p>
      <w:pPr>
        <w:spacing w:after="160" w:before="40"/>
        <w:jc w:val="center"/>
      </w:pPr>
      <w:r>
        <w:rPr>
          <w:i/>
          <w:sz w:val="18"/>
        </w:rPr>
        <w:t>Table II. Training configuration (identical for E01 and E07).</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b/>
                <w:sz w:val="18"/>
              </w:rPr>
              <w:t>Parameter</w:t>
            </w:r>
          </w:p>
        </w:tc>
        <w:tc>
          <w:tcPr>
            <w:tcW w:type="dxa" w:w="2340"/>
          </w:tcPr>
          <w:p>
            <w:pPr>
              <w:jc w:val="center"/>
            </w:pPr>
            <w:r>
              <w:rPr>
                <w:b/>
                <w:sz w:val="18"/>
              </w:rPr>
              <w:t>Value</w:t>
            </w:r>
          </w:p>
        </w:tc>
        <w:tc>
          <w:tcPr>
            <w:tcW w:type="dxa" w:w="2340"/>
          </w:tcPr>
          <w:p>
            <w:pPr>
              <w:jc w:val="center"/>
            </w:pPr>
            <w:r>
              <w:rPr>
                <w:b/>
                <w:sz w:val="18"/>
              </w:rPr>
              <w:t>Parameter</w:t>
            </w:r>
          </w:p>
        </w:tc>
        <w:tc>
          <w:tcPr>
            <w:tcW w:type="dxa" w:w="2340"/>
          </w:tcPr>
          <w:p>
            <w:pPr>
              <w:jc w:val="center"/>
            </w:pPr>
            <w:r>
              <w:rPr>
                <w:b/>
                <w:sz w:val="18"/>
              </w:rPr>
              <w:t>Value</w:t>
            </w:r>
          </w:p>
        </w:tc>
      </w:tr>
      <w:tr>
        <w:tc>
          <w:tcPr>
            <w:tcW w:type="dxa" w:w="2340"/>
          </w:tcPr>
          <w:p>
            <w:pPr>
              <w:jc w:val="left"/>
            </w:pPr>
            <w:r>
              <w:rPr>
                <w:sz w:val="18"/>
              </w:rPr>
              <w:t>Model</w:t>
            </w:r>
          </w:p>
        </w:tc>
        <w:tc>
          <w:tcPr>
            <w:tcW w:type="dxa" w:w="2340"/>
          </w:tcPr>
          <w:p>
            <w:pPr>
              <w:jc w:val="center"/>
            </w:pPr>
            <w:r>
              <w:rPr>
                <w:sz w:val="18"/>
              </w:rPr>
              <w:t>MobileNetV2 (2,225,153)</w:t>
            </w:r>
          </w:p>
        </w:tc>
        <w:tc>
          <w:tcPr>
            <w:tcW w:type="dxa" w:w="2340"/>
          </w:tcPr>
          <w:p>
            <w:pPr>
              <w:jc w:val="center"/>
            </w:pPr>
            <w:r>
              <w:rPr>
                <w:sz w:val="18"/>
              </w:rPr>
              <w:t>Epochs / batch</w:t>
            </w:r>
          </w:p>
        </w:tc>
        <w:tc>
          <w:tcPr>
            <w:tcW w:type="dxa" w:w="2340"/>
          </w:tcPr>
          <w:p>
            <w:pPr>
              <w:jc w:val="center"/>
            </w:pPr>
            <w:r>
              <w:rPr>
                <w:sz w:val="18"/>
              </w:rPr>
              <w:t>20 / 64</w:t>
            </w:r>
          </w:p>
        </w:tc>
      </w:tr>
      <w:tr>
        <w:tc>
          <w:tcPr>
            <w:tcW w:type="dxa" w:w="2340"/>
          </w:tcPr>
          <w:p>
            <w:pPr>
              <w:jc w:val="left"/>
            </w:pPr>
            <w:r>
              <w:rPr>
                <w:sz w:val="18"/>
              </w:rPr>
              <w:t>Input</w:t>
            </w:r>
          </w:p>
        </w:tc>
        <w:tc>
          <w:tcPr>
            <w:tcW w:type="dxa" w:w="2340"/>
          </w:tcPr>
          <w:p>
            <w:pPr>
              <w:jc w:val="center"/>
            </w:pPr>
            <w:r>
              <w:rPr>
                <w:sz w:val="18"/>
              </w:rPr>
              <w:t>224×224, ImageNet norm.</w:t>
            </w:r>
          </w:p>
        </w:tc>
        <w:tc>
          <w:tcPr>
            <w:tcW w:type="dxa" w:w="2340"/>
          </w:tcPr>
          <w:p>
            <w:pPr>
              <w:jc w:val="center"/>
            </w:pPr>
            <w:r>
              <w:rPr>
                <w:sz w:val="18"/>
              </w:rPr>
              <w:t>Optimizer</w:t>
            </w:r>
          </w:p>
        </w:tc>
        <w:tc>
          <w:tcPr>
            <w:tcW w:type="dxa" w:w="2340"/>
          </w:tcPr>
          <w:p>
            <w:pPr>
              <w:jc w:val="center"/>
            </w:pPr>
            <w:r>
              <w:rPr>
                <w:sz w:val="18"/>
              </w:rPr>
              <w:t>Adam</w:t>
            </w:r>
          </w:p>
        </w:tc>
      </w:tr>
      <w:tr>
        <w:tc>
          <w:tcPr>
            <w:tcW w:type="dxa" w:w="2340"/>
          </w:tcPr>
          <w:p>
            <w:pPr>
              <w:jc w:val="left"/>
            </w:pPr>
            <w:r>
              <w:rPr>
                <w:sz w:val="18"/>
              </w:rPr>
              <w:t>Learning rate</w:t>
            </w:r>
          </w:p>
        </w:tc>
        <w:tc>
          <w:tcPr>
            <w:tcW w:type="dxa" w:w="2340"/>
          </w:tcPr>
          <w:p>
            <w:pPr>
              <w:jc w:val="center"/>
            </w:pPr>
            <w:r>
              <w:rPr>
                <w:sz w:val="18"/>
              </w:rPr>
              <w:t>1e-4</w:t>
            </w:r>
          </w:p>
        </w:tc>
        <w:tc>
          <w:tcPr>
            <w:tcW w:type="dxa" w:w="2340"/>
          </w:tcPr>
          <w:p>
            <w:pPr>
              <w:jc w:val="center"/>
            </w:pPr>
            <w:r>
              <w:rPr>
                <w:sz w:val="18"/>
              </w:rPr>
              <w:t>Weight decay</w:t>
            </w:r>
          </w:p>
        </w:tc>
        <w:tc>
          <w:tcPr>
            <w:tcW w:type="dxa" w:w="2340"/>
          </w:tcPr>
          <w:p>
            <w:pPr>
              <w:jc w:val="center"/>
            </w:pPr>
            <w:r>
              <w:rPr>
                <w:sz w:val="18"/>
              </w:rPr>
              <w:t>1e-5</w:t>
            </w:r>
          </w:p>
        </w:tc>
      </w:tr>
      <w:tr>
        <w:tc>
          <w:tcPr>
            <w:tcW w:type="dxa" w:w="2340"/>
          </w:tcPr>
          <w:p>
            <w:pPr>
              <w:jc w:val="left"/>
            </w:pPr>
            <w:r>
              <w:rPr>
                <w:sz w:val="18"/>
              </w:rPr>
              <w:t>Loss</w:t>
            </w:r>
          </w:p>
        </w:tc>
        <w:tc>
          <w:tcPr>
            <w:tcW w:type="dxa" w:w="2340"/>
          </w:tcPr>
          <w:p>
            <w:pPr>
              <w:jc w:val="center"/>
            </w:pPr>
            <w:r>
              <w:rPr>
                <w:sz w:val="18"/>
              </w:rPr>
              <w:t>BCEWithLogitsLoss</w:t>
            </w:r>
          </w:p>
        </w:tc>
        <w:tc>
          <w:tcPr>
            <w:tcW w:type="dxa" w:w="2340"/>
          </w:tcPr>
          <w:p>
            <w:pPr>
              <w:jc w:val="center"/>
            </w:pPr>
            <w:r>
              <w:rPr>
                <w:sz w:val="18"/>
              </w:rPr>
              <w:t>Class weighting</w:t>
            </w:r>
          </w:p>
        </w:tc>
        <w:tc>
          <w:tcPr>
            <w:tcW w:type="dxa" w:w="2340"/>
          </w:tcPr>
          <w:p>
            <w:pPr>
              <w:jc w:val="center"/>
            </w:pPr>
            <w:r>
              <w:rPr>
                <w:sz w:val="18"/>
              </w:rPr>
              <w:t>none</w:t>
            </w:r>
          </w:p>
        </w:tc>
      </w:tr>
      <w:tr>
        <w:tc>
          <w:tcPr>
            <w:tcW w:type="dxa" w:w="2340"/>
          </w:tcPr>
          <w:p>
            <w:pPr>
              <w:jc w:val="left"/>
            </w:pPr>
            <w:r>
              <w:rPr>
                <w:sz w:val="18"/>
              </w:rPr>
              <w:t>Seed</w:t>
            </w:r>
          </w:p>
        </w:tc>
        <w:tc>
          <w:tcPr>
            <w:tcW w:type="dxa" w:w="2340"/>
          </w:tcPr>
          <w:p>
            <w:pPr>
              <w:jc w:val="center"/>
            </w:pPr>
            <w:r>
              <w:rPr>
                <w:sz w:val="18"/>
              </w:rPr>
              <w:t>123</w:t>
            </w:r>
          </w:p>
        </w:tc>
        <w:tc>
          <w:tcPr>
            <w:tcW w:type="dxa" w:w="2340"/>
          </w:tcPr>
          <w:p>
            <w:pPr>
              <w:jc w:val="center"/>
            </w:pPr>
            <w:r>
              <w:rPr>
                <w:sz w:val="18"/>
              </w:rPr>
              <w:t>Threshold</w:t>
            </w:r>
          </w:p>
        </w:tc>
        <w:tc>
          <w:tcPr>
            <w:tcW w:type="dxa" w:w="2340"/>
          </w:tcPr>
          <w:p>
            <w:pPr>
              <w:jc w:val="center"/>
            </w:pPr>
            <w:r>
              <w:rPr>
                <w:sz w:val="18"/>
              </w:rPr>
              <w:t>0.5</w:t>
            </w:r>
          </w:p>
        </w:tc>
      </w:tr>
      <w:tr>
        <w:tc>
          <w:tcPr>
            <w:tcW w:type="dxa" w:w="2340"/>
          </w:tcPr>
          <w:p>
            <w:pPr>
              <w:jc w:val="left"/>
            </w:pPr>
            <w:r>
              <w:rPr>
                <w:sz w:val="18"/>
              </w:rPr>
              <w:t>Train / val / test</w:t>
            </w:r>
          </w:p>
        </w:tc>
        <w:tc>
          <w:tcPr>
            <w:tcW w:type="dxa" w:w="2340"/>
          </w:tcPr>
          <w:p>
            <w:pPr>
              <w:jc w:val="center"/>
            </w:pPr>
            <w:r>
              <w:rPr>
                <w:sz w:val="18"/>
              </w:rPr>
              <w:t>142,250 / 20,322 / 40,643</w:t>
            </w:r>
          </w:p>
        </w:tc>
        <w:tc>
          <w:tcPr>
            <w:tcW w:type="dxa" w:w="2340"/>
          </w:tcPr>
          <w:p>
            <w:pPr>
              <w:jc w:val="center"/>
            </w:pPr>
            <w:r>
              <w:rPr>
                <w:sz w:val="18"/>
              </w:rPr>
              <w:t>Aug. (E01)</w:t>
            </w:r>
          </w:p>
        </w:tc>
        <w:tc>
          <w:tcPr>
            <w:tcW w:type="dxa" w:w="2340"/>
          </w:tcPr>
          <w:p>
            <w:pPr>
              <w:jc w:val="center"/>
            </w:pPr>
            <w:r>
              <w:rPr>
                <w:sz w:val="18"/>
              </w:rPr>
              <w:t>flip only</w:t>
            </w:r>
          </w:p>
        </w:tc>
      </w:tr>
    </w:tbl>
    <w:p>
      <w:pPr>
        <w:spacing w:after="160" w:before="40"/>
        <w:jc w:val="center"/>
      </w:pPr>
      <w:r>
        <w:rPr>
          <w:i/>
          <w:sz w:val="18"/>
        </w:rPr>
        <w:t>Table III. Degradation test matrix (16 conditions).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b/>
                <w:sz w:val="18"/>
              </w:rPr>
              <w:t>Category</w:t>
            </w:r>
          </w:p>
        </w:tc>
        <w:tc>
          <w:tcPr>
            <w:tcW w:type="dxa" w:w="3120"/>
          </w:tcPr>
          <w:p>
            <w:pPr>
              <w:jc w:val="center"/>
            </w:pPr>
            <w:r>
              <w:rPr>
                <w:b/>
                <w:sz w:val="18"/>
              </w:rPr>
              <w:t>Levels</w:t>
            </w:r>
          </w:p>
        </w:tc>
        <w:tc>
          <w:tcPr>
            <w:tcW w:type="dxa" w:w="3120"/>
          </w:tcPr>
          <w:p>
            <w:pPr>
              <w:jc w:val="center"/>
            </w:pPr>
            <w:r>
              <w:rPr>
                <w:b/>
                <w:sz w:val="18"/>
              </w:rPr>
              <w:t>Parameters</w:t>
            </w:r>
          </w:p>
        </w:tc>
      </w:tr>
      <w:tr>
        <w:tc>
          <w:tcPr>
            <w:tcW w:type="dxa" w:w="3120"/>
          </w:tcPr>
          <w:p>
            <w:pPr>
              <w:jc w:val="left"/>
            </w:pPr>
            <w:r>
              <w:rPr>
                <w:sz w:val="18"/>
              </w:rPr>
              <w:t>JPEG</w:t>
            </w:r>
          </w:p>
        </w:tc>
        <w:tc>
          <w:tcPr>
            <w:tcW w:type="dxa" w:w="3120"/>
          </w:tcPr>
          <w:p>
            <w:pPr>
              <w:jc w:val="center"/>
            </w:pPr>
            <w:r>
              <w:rPr>
                <w:sz w:val="18"/>
              </w:rPr>
              <w:t>90 / 70 / 50 / 30</w:t>
            </w:r>
          </w:p>
        </w:tc>
        <w:tc>
          <w:tcPr>
            <w:tcW w:type="dxa" w:w="3120"/>
          </w:tcPr>
          <w:p>
            <w:pPr>
              <w:jc w:val="center"/>
            </w:pPr>
            <w:r>
              <w:rPr>
                <w:sz w:val="18"/>
              </w:rPr>
              <w:t>quality</w:t>
            </w:r>
          </w:p>
        </w:tc>
      </w:tr>
      <w:tr>
        <w:tc>
          <w:tcPr>
            <w:tcW w:type="dxa" w:w="3120"/>
          </w:tcPr>
          <w:p>
            <w:pPr>
              <w:jc w:val="left"/>
            </w:pPr>
            <w:r>
              <w:rPr>
                <w:sz w:val="18"/>
              </w:rPr>
              <w:t>Resize</w:t>
            </w:r>
          </w:p>
        </w:tc>
        <w:tc>
          <w:tcPr>
            <w:tcW w:type="dxa" w:w="3120"/>
          </w:tcPr>
          <w:p>
            <w:pPr>
              <w:jc w:val="center"/>
            </w:pPr>
            <w:r>
              <w:rPr>
                <w:sz w:val="18"/>
              </w:rPr>
              <w:t>75% / 50% / 25%</w:t>
            </w:r>
          </w:p>
        </w:tc>
        <w:tc>
          <w:tcPr>
            <w:tcW w:type="dxa" w:w="3120"/>
          </w:tcPr>
          <w:p>
            <w:pPr>
              <w:jc w:val="center"/>
            </w:pPr>
            <w:r>
              <w:rPr>
                <w:sz w:val="18"/>
              </w:rPr>
              <w:t>scale 0.75 / 0.50 / 0.25</w:t>
            </w:r>
          </w:p>
        </w:tc>
      </w:tr>
      <w:tr>
        <w:tc>
          <w:tcPr>
            <w:tcW w:type="dxa" w:w="3120"/>
          </w:tcPr>
          <w:p>
            <w:pPr>
              <w:jc w:val="left"/>
            </w:pPr>
            <w:r>
              <w:rPr>
                <w:sz w:val="18"/>
              </w:rPr>
              <w:t>Blur</w:t>
            </w:r>
          </w:p>
        </w:tc>
        <w:tc>
          <w:tcPr>
            <w:tcW w:type="dxa" w:w="3120"/>
          </w:tcPr>
          <w:p>
            <w:pPr>
              <w:jc w:val="center"/>
            </w:pPr>
            <w:r>
              <w:rPr>
                <w:sz w:val="18"/>
              </w:rPr>
              <w:t>light / medium / strong</w:t>
            </w:r>
          </w:p>
        </w:tc>
        <w:tc>
          <w:tcPr>
            <w:tcW w:type="dxa" w:w="3120"/>
          </w:tcPr>
          <w:p>
            <w:pPr>
              <w:jc w:val="center"/>
            </w:pPr>
            <w:r>
              <w:rPr>
                <w:sz w:val="18"/>
              </w:rPr>
              <w:t>k3σ0.6 / k7σ1.8 / k11σ3.0</w:t>
            </w:r>
          </w:p>
        </w:tc>
      </w:tr>
      <w:tr>
        <w:tc>
          <w:tcPr>
            <w:tcW w:type="dxa" w:w="3120"/>
          </w:tcPr>
          <w:p>
            <w:pPr>
              <w:jc w:val="left"/>
            </w:pPr>
            <w:r>
              <w:rPr>
                <w:sz w:val="18"/>
              </w:rPr>
              <w:t>Noise</w:t>
            </w:r>
          </w:p>
        </w:tc>
        <w:tc>
          <w:tcPr>
            <w:tcW w:type="dxa" w:w="3120"/>
          </w:tcPr>
          <w:p>
            <w:pPr>
              <w:jc w:val="center"/>
            </w:pPr>
            <w:r>
              <w:rPr>
                <w:sz w:val="18"/>
              </w:rPr>
              <w:t>low / medium / high</w:t>
            </w:r>
          </w:p>
        </w:tc>
        <w:tc>
          <w:tcPr>
            <w:tcW w:type="dxa" w:w="3120"/>
          </w:tcPr>
          <w:p>
            <w:pPr>
              <w:jc w:val="center"/>
            </w:pPr>
            <w:r>
              <w:rPr>
                <w:sz w:val="18"/>
              </w:rPr>
              <w:t>std 0.005 / 0.015 / 0.03</w:t>
            </w:r>
          </w:p>
        </w:tc>
      </w:tr>
      <w:tr>
        <w:tc>
          <w:tcPr>
            <w:tcW w:type="dxa" w:w="3120"/>
          </w:tcPr>
          <w:p>
            <w:pPr>
              <w:jc w:val="left"/>
            </w:pPr>
            <w:r>
              <w:rPr>
                <w:sz w:val="18"/>
              </w:rPr>
              <w:t>Brightness</w:t>
            </w:r>
          </w:p>
        </w:tc>
        <w:tc>
          <w:tcPr>
            <w:tcW w:type="dxa" w:w="3120"/>
          </w:tcPr>
          <w:p>
            <w:pPr>
              <w:jc w:val="center"/>
            </w:pPr>
            <w:r>
              <w:rPr>
                <w:sz w:val="18"/>
              </w:rPr>
              <w:t>dark / normal / bright</w:t>
            </w:r>
          </w:p>
        </w:tc>
        <w:tc>
          <w:tcPr>
            <w:tcW w:type="dxa" w:w="3120"/>
          </w:tcPr>
          <w:p>
            <w:pPr>
              <w:jc w:val="center"/>
            </w:pPr>
            <w:r>
              <w:rPr>
                <w:sz w:val="18"/>
              </w:rPr>
              <w:t>factor 0.6 / 1.0 / 1.4</w:t>
            </w:r>
          </w:p>
        </w:tc>
      </w:tr>
    </w:tbl>
    <w:p>
      <w:pPr>
        <w:spacing w:after="160" w:before="40"/>
        <w:jc w:val="center"/>
      </w:pPr>
      <w:r>
        <w:rPr>
          <w:i/>
          <w:sz w:val="18"/>
        </w:rPr>
        <w:t>Table IV. Test scenarios and real-world analogues.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b/>
                <w:sz w:val="18"/>
              </w:rPr>
              <w:t>Condition</w:t>
            </w:r>
          </w:p>
        </w:tc>
        <w:tc>
          <w:tcPr>
            <w:tcW w:type="dxa" w:w="3120"/>
          </w:tcPr>
          <w:p>
            <w:pPr>
              <w:jc w:val="center"/>
            </w:pPr>
            <w:r>
              <w:rPr>
                <w:b/>
                <w:sz w:val="18"/>
              </w:rPr>
              <w:t>Real-world analogue</w:t>
            </w:r>
          </w:p>
        </w:tc>
        <w:tc>
          <w:tcPr>
            <w:tcW w:type="dxa" w:w="3120"/>
          </w:tcPr>
          <w:p>
            <w:pPr>
              <w:jc w:val="center"/>
            </w:pPr>
            <w:r>
              <w:rPr>
                <w:b/>
                <w:sz w:val="18"/>
              </w:rPr>
              <w:t>Relevance to face PAD</w:t>
            </w:r>
          </w:p>
        </w:tc>
      </w:tr>
      <w:tr>
        <w:tc>
          <w:tcPr>
            <w:tcW w:type="dxa" w:w="3120"/>
          </w:tcPr>
          <w:p>
            <w:pPr>
              <w:jc w:val="left"/>
            </w:pPr>
            <w:r>
              <w:rPr>
                <w:sz w:val="18"/>
              </w:rPr>
              <w:t>JPEG</w:t>
            </w:r>
          </w:p>
        </w:tc>
        <w:tc>
          <w:tcPr>
            <w:tcW w:type="dxa" w:w="3120"/>
          </w:tcPr>
          <w:p>
            <w:pPr>
              <w:jc w:val="center"/>
            </w:pPr>
            <w:r>
              <w:rPr>
                <w:sz w:val="18"/>
              </w:rPr>
              <w:t>lossy compression in transfer/storage</w:t>
            </w:r>
          </w:p>
        </w:tc>
        <w:tc>
          <w:tcPr>
            <w:tcW w:type="dxa" w:w="3120"/>
          </w:tcPr>
          <w:p>
            <w:pPr>
              <w:jc w:val="center"/>
            </w:pPr>
            <w:r>
              <w:rPr>
                <w:sz w:val="18"/>
              </w:rPr>
              <w:t>destroys fine spoof textures</w:t>
            </w:r>
          </w:p>
        </w:tc>
      </w:tr>
      <w:tr>
        <w:tc>
          <w:tcPr>
            <w:tcW w:type="dxa" w:w="3120"/>
          </w:tcPr>
          <w:p>
            <w:pPr>
              <w:jc w:val="left"/>
            </w:pPr>
            <w:r>
              <w:rPr>
                <w:sz w:val="18"/>
              </w:rPr>
              <w:t>Resize</w:t>
            </w:r>
          </w:p>
        </w:tc>
        <w:tc>
          <w:tcPr>
            <w:tcW w:type="dxa" w:w="3120"/>
          </w:tcPr>
          <w:p>
            <w:pPr>
              <w:jc w:val="center"/>
            </w:pPr>
            <w:r>
              <w:rPr>
                <w:sz w:val="18"/>
              </w:rPr>
              <w:t>client-side downscaling</w:t>
            </w:r>
          </w:p>
        </w:tc>
        <w:tc>
          <w:tcPr>
            <w:tcW w:type="dxa" w:w="3120"/>
          </w:tcPr>
          <w:p>
            <w:pPr>
              <w:jc w:val="center"/>
            </w:pPr>
            <w:r>
              <w:rPr>
                <w:sz w:val="18"/>
              </w:rPr>
              <w:t>removes high-frequency detail</w:t>
            </w:r>
          </w:p>
        </w:tc>
      </w:tr>
      <w:tr>
        <w:tc>
          <w:tcPr>
            <w:tcW w:type="dxa" w:w="3120"/>
          </w:tcPr>
          <w:p>
            <w:pPr>
              <w:jc w:val="left"/>
            </w:pPr>
            <w:r>
              <w:rPr>
                <w:sz w:val="18"/>
              </w:rPr>
              <w:t>Blur</w:t>
            </w:r>
          </w:p>
        </w:tc>
        <w:tc>
          <w:tcPr>
            <w:tcW w:type="dxa" w:w="3120"/>
          </w:tcPr>
          <w:p>
            <w:pPr>
              <w:jc w:val="center"/>
            </w:pPr>
            <w:r>
              <w:rPr>
                <w:sz w:val="18"/>
              </w:rPr>
              <w:t>motion / out-of-focus capture</w:t>
            </w:r>
          </w:p>
        </w:tc>
        <w:tc>
          <w:tcPr>
            <w:tcW w:type="dxa" w:w="3120"/>
          </w:tcPr>
          <w:p>
            <w:pPr>
              <w:jc w:val="center"/>
            </w:pPr>
            <w:r>
              <w:rPr>
                <w:sz w:val="18"/>
              </w:rPr>
              <w:t>smooths texture and edges</w:t>
            </w:r>
          </w:p>
        </w:tc>
      </w:tr>
      <w:tr>
        <w:tc>
          <w:tcPr>
            <w:tcW w:type="dxa" w:w="3120"/>
          </w:tcPr>
          <w:p>
            <w:pPr>
              <w:jc w:val="left"/>
            </w:pPr>
            <w:r>
              <w:rPr>
                <w:sz w:val="18"/>
              </w:rPr>
              <w:t>Noise</w:t>
            </w:r>
          </w:p>
        </w:tc>
        <w:tc>
          <w:tcPr>
            <w:tcW w:type="dxa" w:w="3120"/>
          </w:tcPr>
          <w:p>
            <w:pPr>
              <w:jc w:val="center"/>
            </w:pPr>
            <w:r>
              <w:rPr>
                <w:sz w:val="18"/>
              </w:rPr>
              <w:t>low-light sensor noise</w:t>
            </w:r>
          </w:p>
        </w:tc>
        <w:tc>
          <w:tcPr>
            <w:tcW w:type="dxa" w:w="3120"/>
          </w:tcPr>
          <w:p>
            <w:pPr>
              <w:jc w:val="center"/>
            </w:pPr>
            <w:r>
              <w:rPr>
                <w:sz w:val="18"/>
              </w:rPr>
              <w:t>masks artifacts with noise</w:t>
            </w:r>
          </w:p>
        </w:tc>
      </w:tr>
      <w:tr>
        <w:tc>
          <w:tcPr>
            <w:tcW w:type="dxa" w:w="3120"/>
          </w:tcPr>
          <w:p>
            <w:pPr>
              <w:jc w:val="left"/>
            </w:pPr>
            <w:r>
              <w:rPr>
                <w:sz w:val="18"/>
              </w:rPr>
              <w:t>Brightness</w:t>
            </w:r>
          </w:p>
        </w:tc>
        <w:tc>
          <w:tcPr>
            <w:tcW w:type="dxa" w:w="3120"/>
          </w:tcPr>
          <w:p>
            <w:pPr>
              <w:jc w:val="center"/>
            </w:pPr>
            <w:r>
              <w:rPr>
                <w:sz w:val="18"/>
              </w:rPr>
              <w:t>illumination variation</w:t>
            </w:r>
          </w:p>
        </w:tc>
        <w:tc>
          <w:tcPr>
            <w:tcW w:type="dxa" w:w="3120"/>
          </w:tcPr>
          <w:p>
            <w:pPr>
              <w:jc w:val="center"/>
            </w:pPr>
            <w:r>
              <w:rPr>
                <w:sz w:val="18"/>
              </w:rPr>
              <w:t>alters contrast and color statistics</w:t>
            </w:r>
          </w:p>
        </w:tc>
      </w:tr>
    </w:tbl>
    <w:p>
      <w:pPr>
        <w:spacing w:after="0"/>
        <w:jc w:val="center"/>
      </w:pPr>
      <w:r>
        <w:drawing>
          <wp:inline xmlns:a="http://schemas.openxmlformats.org/drawingml/2006/main" xmlns:pic="http://schemas.openxmlformats.org/drawingml/2006/picture">
            <wp:extent cx="5120640" cy="1578300"/>
            <wp:docPr id="2" name="Picture 2"/>
            <wp:cNvGraphicFramePr>
              <a:graphicFrameLocks noChangeAspect="1"/>
            </wp:cNvGraphicFramePr>
            <a:graphic>
              <a:graphicData uri="http://schemas.openxmlformats.org/drawingml/2006/picture">
                <pic:pic>
                  <pic:nvPicPr>
                    <pic:cNvPr id="0" name="fig2_degradation_examples.png"/>
                    <pic:cNvPicPr/>
                  </pic:nvPicPr>
                  <pic:blipFill>
                    <a:blip r:embed="rId10"/>
                    <a:stretch>
                      <a:fillRect/>
                    </a:stretch>
                  </pic:blipFill>
                  <pic:spPr>
                    <a:xfrm>
                      <a:off x="0" y="0"/>
                      <a:ext cx="5120640" cy="1578300"/>
                    </a:xfrm>
                    <a:prstGeom prst="rect"/>
                  </pic:spPr>
                </pic:pic>
              </a:graphicData>
            </a:graphic>
          </wp:inline>
        </w:drawing>
      </w:r>
    </w:p>
    <w:p>
      <w:pPr>
        <w:spacing w:after="160" w:before="40"/>
        <w:jc w:val="center"/>
      </w:pPr>
      <w:r>
        <w:rPr>
          <w:i/>
          <w:sz w:val="18"/>
        </w:rPr>
        <w:t>Fig. 2. One live and one spoof test image under selected degradations (clean, JPEG 50, JPEG 30, resize 25%, blur strong, noise high, brightness 1.4, 0.6).</w:t>
      </w:r>
    </w:p>
    <w:p>
      <w:pPr>
        <w:pStyle w:val="Heading1"/>
      </w:pPr>
      <w:r>
        <w:t>5. Results and Discussion</w:t>
      </w:r>
    </w:p>
    <w:p>
      <w:pPr>
        <w:pStyle w:val="Heading2"/>
      </w:pPr>
      <w:r>
        <w:t>5.1 Clean Performance</w:t>
      </w:r>
    </w:p>
    <w:p>
      <w:pPr>
        <w:spacing w:after="160" w:before="40"/>
        <w:jc w:val="center"/>
      </w:pPr>
      <w:r>
        <w:rPr>
          <w:i/>
          <w:sz w:val="18"/>
        </w:rPr>
        <w:t>Table V. Clean test performance (40,643 images, threshold 0.5, best-epoch weights).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b/>
                <w:sz w:val="18"/>
              </w:rPr>
              <w:t>Metric</w:t>
            </w:r>
          </w:p>
        </w:tc>
        <w:tc>
          <w:tcPr>
            <w:tcW w:type="dxa" w:w="3120"/>
          </w:tcPr>
          <w:p>
            <w:pPr>
              <w:jc w:val="center"/>
            </w:pPr>
            <w:r>
              <w:rPr>
                <w:b/>
                <w:sz w:val="18"/>
              </w:rPr>
              <w:t>E01 Baseline</w:t>
            </w:r>
          </w:p>
        </w:tc>
        <w:tc>
          <w:tcPr>
            <w:tcW w:type="dxa" w:w="3120"/>
          </w:tcPr>
          <w:p>
            <w:pPr>
              <w:jc w:val="center"/>
            </w:pPr>
            <w:r>
              <w:rPr>
                <w:b/>
                <w:sz w:val="18"/>
              </w:rPr>
              <w:t>E07 Robust</w:t>
            </w:r>
          </w:p>
        </w:tc>
      </w:tr>
      <w:tr>
        <w:tc>
          <w:tcPr>
            <w:tcW w:type="dxa" w:w="3120"/>
          </w:tcPr>
          <w:p>
            <w:pPr>
              <w:jc w:val="left"/>
            </w:pPr>
            <w:r>
              <w:rPr>
                <w:sz w:val="18"/>
              </w:rPr>
              <w:t>Accuracy</w:t>
            </w:r>
          </w:p>
        </w:tc>
        <w:tc>
          <w:tcPr>
            <w:tcW w:type="dxa" w:w="3120"/>
          </w:tcPr>
          <w:p>
            <w:pPr>
              <w:jc w:val="center"/>
            </w:pPr>
            <w:r>
              <w:rPr>
                <w:sz w:val="18"/>
              </w:rPr>
              <w:t>0.9826</w:t>
            </w:r>
          </w:p>
        </w:tc>
        <w:tc>
          <w:tcPr>
            <w:tcW w:type="dxa" w:w="3120"/>
          </w:tcPr>
          <w:p>
            <w:pPr>
              <w:jc w:val="center"/>
            </w:pPr>
            <w:r>
              <w:rPr>
                <w:sz w:val="18"/>
              </w:rPr>
              <w:t>0.9778</w:t>
            </w:r>
          </w:p>
        </w:tc>
      </w:tr>
      <w:tr>
        <w:tc>
          <w:tcPr>
            <w:tcW w:type="dxa" w:w="3120"/>
          </w:tcPr>
          <w:p>
            <w:pPr>
              <w:jc w:val="left"/>
            </w:pPr>
            <w:r>
              <w:rPr>
                <w:sz w:val="18"/>
              </w:rPr>
              <w:t>Precision</w:t>
            </w:r>
          </w:p>
        </w:tc>
        <w:tc>
          <w:tcPr>
            <w:tcW w:type="dxa" w:w="3120"/>
          </w:tcPr>
          <w:p>
            <w:pPr>
              <w:jc w:val="center"/>
            </w:pPr>
            <w:r>
              <w:rPr>
                <w:sz w:val="18"/>
              </w:rPr>
              <w:t>0.9827</w:t>
            </w:r>
          </w:p>
        </w:tc>
        <w:tc>
          <w:tcPr>
            <w:tcW w:type="dxa" w:w="3120"/>
          </w:tcPr>
          <w:p>
            <w:pPr>
              <w:jc w:val="center"/>
            </w:pPr>
            <w:r>
              <w:rPr>
                <w:sz w:val="18"/>
              </w:rPr>
              <w:t>0.9810</w:t>
            </w:r>
          </w:p>
        </w:tc>
      </w:tr>
      <w:tr>
        <w:tc>
          <w:tcPr>
            <w:tcW w:type="dxa" w:w="3120"/>
          </w:tcPr>
          <w:p>
            <w:pPr>
              <w:jc w:val="left"/>
            </w:pPr>
            <w:r>
              <w:rPr>
                <w:sz w:val="18"/>
              </w:rPr>
              <w:t>Recall</w:t>
            </w:r>
          </w:p>
        </w:tc>
        <w:tc>
          <w:tcPr>
            <w:tcW w:type="dxa" w:w="3120"/>
          </w:tcPr>
          <w:p>
            <w:pPr>
              <w:jc w:val="center"/>
            </w:pPr>
            <w:r>
              <w:rPr>
                <w:sz w:val="18"/>
              </w:rPr>
              <w:t>0.9909</w:t>
            </w:r>
          </w:p>
        </w:tc>
        <w:tc>
          <w:tcPr>
            <w:tcW w:type="dxa" w:w="3120"/>
          </w:tcPr>
          <w:p>
            <w:pPr>
              <w:jc w:val="center"/>
            </w:pPr>
            <w:r>
              <w:rPr>
                <w:sz w:val="18"/>
              </w:rPr>
              <w:t>0.9851</w:t>
            </w:r>
          </w:p>
        </w:tc>
      </w:tr>
      <w:tr>
        <w:tc>
          <w:tcPr>
            <w:tcW w:type="dxa" w:w="3120"/>
          </w:tcPr>
          <w:p>
            <w:pPr>
              <w:jc w:val="left"/>
            </w:pPr>
            <w:r>
              <w:rPr>
                <w:sz w:val="18"/>
              </w:rPr>
              <w:t>F1</w:t>
            </w:r>
          </w:p>
        </w:tc>
        <w:tc>
          <w:tcPr>
            <w:tcW w:type="dxa" w:w="3120"/>
          </w:tcPr>
          <w:p>
            <w:pPr>
              <w:jc w:val="center"/>
            </w:pPr>
            <w:r>
              <w:rPr>
                <w:sz w:val="18"/>
              </w:rPr>
              <w:t>0.9868</w:t>
            </w:r>
          </w:p>
        </w:tc>
        <w:tc>
          <w:tcPr>
            <w:tcW w:type="dxa" w:w="3120"/>
          </w:tcPr>
          <w:p>
            <w:pPr>
              <w:jc w:val="center"/>
            </w:pPr>
            <w:r>
              <w:rPr>
                <w:sz w:val="18"/>
              </w:rPr>
              <w:t>0.9831</w:t>
            </w:r>
          </w:p>
        </w:tc>
      </w:tr>
      <w:tr>
        <w:tc>
          <w:tcPr>
            <w:tcW w:type="dxa" w:w="3120"/>
          </w:tcPr>
          <w:p>
            <w:pPr>
              <w:jc w:val="left"/>
            </w:pPr>
            <w:r>
              <w:rPr>
                <w:sz w:val="18"/>
              </w:rPr>
              <w:t>ROC-AUC</w:t>
            </w:r>
          </w:p>
        </w:tc>
        <w:tc>
          <w:tcPr>
            <w:tcW w:type="dxa" w:w="3120"/>
          </w:tcPr>
          <w:p>
            <w:pPr>
              <w:jc w:val="center"/>
            </w:pPr>
            <w:r>
              <w:rPr>
                <w:sz w:val="18"/>
              </w:rPr>
              <w:t>0.9978</w:t>
            </w:r>
          </w:p>
        </w:tc>
        <w:tc>
          <w:tcPr>
            <w:tcW w:type="dxa" w:w="3120"/>
          </w:tcPr>
          <w:p>
            <w:pPr>
              <w:jc w:val="center"/>
            </w:pPr>
            <w:r>
              <w:rPr>
                <w:sz w:val="18"/>
              </w:rPr>
              <w:t>0.9969</w:t>
            </w:r>
          </w:p>
        </w:tc>
      </w:tr>
      <w:tr>
        <w:tc>
          <w:tcPr>
            <w:tcW w:type="dxa" w:w="3120"/>
          </w:tcPr>
          <w:p>
            <w:pPr>
              <w:jc w:val="left"/>
            </w:pPr>
            <w:r>
              <w:rPr>
                <w:sz w:val="18"/>
              </w:rPr>
              <w:t>PR-AUC</w:t>
            </w:r>
          </w:p>
        </w:tc>
        <w:tc>
          <w:tcPr>
            <w:tcW w:type="dxa" w:w="3120"/>
          </w:tcPr>
          <w:p>
            <w:pPr>
              <w:jc w:val="center"/>
            </w:pPr>
            <w:r>
              <w:rPr>
                <w:sz w:val="18"/>
              </w:rPr>
              <w:t>0.9987</w:t>
            </w:r>
          </w:p>
        </w:tc>
        <w:tc>
          <w:tcPr>
            <w:tcW w:type="dxa" w:w="3120"/>
          </w:tcPr>
          <w:p>
            <w:pPr>
              <w:jc w:val="center"/>
            </w:pPr>
            <w:r>
              <w:rPr>
                <w:sz w:val="18"/>
              </w:rPr>
              <w:t>0.9983</w:t>
            </w:r>
          </w:p>
        </w:tc>
      </w:tr>
      <w:tr>
        <w:tc>
          <w:tcPr>
            <w:tcW w:type="dxa" w:w="3120"/>
          </w:tcPr>
          <w:p>
            <w:pPr>
              <w:jc w:val="left"/>
            </w:pPr>
            <w:r>
              <w:rPr>
                <w:sz w:val="18"/>
              </w:rPr>
              <w:t>APCER</w:t>
            </w:r>
          </w:p>
        </w:tc>
        <w:tc>
          <w:tcPr>
            <w:tcW w:type="dxa" w:w="3120"/>
          </w:tcPr>
          <w:p>
            <w:pPr>
              <w:jc w:val="center"/>
            </w:pPr>
            <w:r>
              <w:rPr>
                <w:sz w:val="18"/>
              </w:rPr>
              <w:t>0.0091</w:t>
            </w:r>
          </w:p>
        </w:tc>
        <w:tc>
          <w:tcPr>
            <w:tcW w:type="dxa" w:w="3120"/>
          </w:tcPr>
          <w:p>
            <w:pPr>
              <w:jc w:val="center"/>
            </w:pPr>
            <w:r>
              <w:rPr>
                <w:sz w:val="18"/>
              </w:rPr>
              <w:t>0.0149</w:t>
            </w:r>
          </w:p>
        </w:tc>
      </w:tr>
      <w:tr>
        <w:tc>
          <w:tcPr>
            <w:tcW w:type="dxa" w:w="3120"/>
          </w:tcPr>
          <w:p>
            <w:pPr>
              <w:jc w:val="left"/>
            </w:pPr>
            <w:r>
              <w:rPr>
                <w:sz w:val="18"/>
              </w:rPr>
              <w:t>BPCER</w:t>
            </w:r>
          </w:p>
        </w:tc>
        <w:tc>
          <w:tcPr>
            <w:tcW w:type="dxa" w:w="3120"/>
          </w:tcPr>
          <w:p>
            <w:pPr>
              <w:jc w:val="center"/>
            </w:pPr>
            <w:r>
              <w:rPr>
                <w:sz w:val="18"/>
              </w:rPr>
              <w:t>0.0331</w:t>
            </w:r>
          </w:p>
        </w:tc>
        <w:tc>
          <w:tcPr>
            <w:tcW w:type="dxa" w:w="3120"/>
          </w:tcPr>
          <w:p>
            <w:pPr>
              <w:jc w:val="center"/>
            </w:pPr>
            <w:r>
              <w:rPr>
                <w:sz w:val="18"/>
              </w:rPr>
              <w:t>0.0362</w:t>
            </w:r>
          </w:p>
        </w:tc>
      </w:tr>
      <w:tr>
        <w:tc>
          <w:tcPr>
            <w:tcW w:type="dxa" w:w="3120"/>
          </w:tcPr>
          <w:p>
            <w:pPr>
              <w:jc w:val="left"/>
            </w:pPr>
            <w:r>
              <w:rPr>
                <w:sz w:val="18"/>
              </w:rPr>
              <w:t>ACER</w:t>
            </w:r>
          </w:p>
        </w:tc>
        <w:tc>
          <w:tcPr>
            <w:tcW w:type="dxa" w:w="3120"/>
          </w:tcPr>
          <w:p>
            <w:pPr>
              <w:jc w:val="center"/>
            </w:pPr>
            <w:r>
              <w:rPr>
                <w:sz w:val="18"/>
              </w:rPr>
              <w:t>0.0211</w:t>
            </w:r>
          </w:p>
        </w:tc>
        <w:tc>
          <w:tcPr>
            <w:tcW w:type="dxa" w:w="3120"/>
          </w:tcPr>
          <w:p>
            <w:pPr>
              <w:jc w:val="center"/>
            </w:pPr>
            <w:r>
              <w:rPr>
                <w:sz w:val="18"/>
              </w:rPr>
              <w:t>0.0256</w:t>
            </w:r>
          </w:p>
        </w:tc>
      </w:tr>
    </w:tbl>
    <w:p>
      <w:pPr>
        <w:jc w:val="both"/>
      </w:pPr>
      <w:r>
        <w:rPr>
          <w:sz w:val="22"/>
        </w:rPr>
        <w:t>Clean-test performance is essentially preserved: the robust model's F1 is 0.0037 lower and its ACER 0.0044 higher, while ROC-AUC decreases by only 0.0008. Both error rates remain low for both models (APCER 0.0091 vs 0.0149; BPCER 0.0331 vs 0.0362). Confusion matrices (positive = spoof): E01 TN 13557 / FN 243 / FP 464 / TP 26379; E07 TN 13513 / FN 396 / FP 508 / TP 26226 (Table XI). ROC curves are compared in Fig. 3.</w:t>
      </w:r>
    </w:p>
    <w:p>
      <w:pPr>
        <w:spacing w:after="0"/>
        <w:jc w:val="center"/>
      </w:pPr>
      <w:r>
        <w:drawing>
          <wp:inline xmlns:a="http://schemas.openxmlformats.org/drawingml/2006/main" xmlns:pic="http://schemas.openxmlformats.org/drawingml/2006/picture">
            <wp:extent cx="3108960" cy="2731740"/>
            <wp:docPr id="3" name="Picture 3"/>
            <wp:cNvGraphicFramePr>
              <a:graphicFrameLocks noChangeAspect="1"/>
            </wp:cNvGraphicFramePr>
            <a:graphic>
              <a:graphicData uri="http://schemas.openxmlformats.org/drawingml/2006/picture">
                <pic:pic>
                  <pic:nvPicPr>
                    <pic:cNvPr id="0" name="fig3_roc_curves.png"/>
                    <pic:cNvPicPr/>
                  </pic:nvPicPr>
                  <pic:blipFill>
                    <a:blip r:embed="rId11"/>
                    <a:stretch>
                      <a:fillRect/>
                    </a:stretch>
                  </pic:blipFill>
                  <pic:spPr>
                    <a:xfrm>
                      <a:off x="0" y="0"/>
                      <a:ext cx="3108960" cy="2731740"/>
                    </a:xfrm>
                    <a:prstGeom prst="rect"/>
                  </pic:spPr>
                </pic:pic>
              </a:graphicData>
            </a:graphic>
          </wp:inline>
        </w:drawing>
      </w:r>
    </w:p>
    <w:p>
      <w:pPr>
        <w:spacing w:after="160" w:before="40"/>
        <w:jc w:val="center"/>
      </w:pPr>
      <w:r>
        <w:rPr>
          <w:i/>
          <w:sz w:val="18"/>
        </w:rPr>
        <w:t>Fig. 3. ROC curves on the clean test set (E01 AUC 0.9978, E07 AUC 0.9969).</w:t>
      </w:r>
    </w:p>
    <w:p>
      <w:pPr>
        <w:pStyle w:val="Heading2"/>
      </w:pPr>
      <w:r>
        <w:t>5.2 Degradation Performance</w:t>
      </w:r>
    </w:p>
    <w:p>
      <w:pPr>
        <w:jc w:val="both"/>
      </w:pPr>
      <w:r>
        <w:rPr>
          <w:sz w:val="22"/>
        </w:rPr>
        <w:t>Table VI reports all metrics for both models under the sixteen degradation conditions; Fig. 4 plots F1 and ACER against severity for each category.</w:t>
      </w:r>
    </w:p>
    <w:p>
      <w:pPr>
        <w:spacing w:after="160" w:before="40"/>
        <w:jc w:val="center"/>
      </w:pPr>
      <w:r>
        <w:rPr>
          <w:i/>
          <w:sz w:val="18"/>
        </w:rPr>
        <w:t>Table VI. E01 vs E07 under all 16 degradation conditions (best-epoch weights).</w:t>
      </w:r>
    </w:p>
    <w:tbl>
      <w:tblPr>
        <w:tblStyle w:val="TableGrid"/>
        <w:tblW w:type="auto" w:w="0"/>
        <w:tblLook w:firstColumn="1" w:firstRow="1" w:lastColumn="0" w:lastRow="0" w:noHBand="0" w:noVBand="1" w:val="04A0"/>
      </w:tblPr>
      <w:tblGrid>
        <w:gridCol w:w="520"/>
        <w:gridCol w:w="520"/>
        <w:gridCol w:w="520"/>
        <w:gridCol w:w="520"/>
        <w:gridCol w:w="520"/>
        <w:gridCol w:w="520"/>
        <w:gridCol w:w="520"/>
        <w:gridCol w:w="520"/>
        <w:gridCol w:w="520"/>
        <w:gridCol w:w="520"/>
        <w:gridCol w:w="520"/>
        <w:gridCol w:w="520"/>
        <w:gridCol w:w="520"/>
        <w:gridCol w:w="520"/>
        <w:gridCol w:w="520"/>
        <w:gridCol w:w="520"/>
        <w:gridCol w:w="520"/>
        <w:gridCol w:w="520"/>
      </w:tblGrid>
      <w:tr>
        <w:tc>
          <w:tcPr>
            <w:tcW w:type="dxa" w:w="520"/>
          </w:tcPr>
          <w:p>
            <w:pPr>
              <w:jc w:val="center"/>
            </w:pPr>
            <w:r>
              <w:rPr>
                <w:b/>
                <w:sz w:val="16"/>
              </w:rPr>
              <w:t>Condition</w:t>
            </w:r>
          </w:p>
        </w:tc>
        <w:tc>
          <w:tcPr>
            <w:tcW w:type="dxa" w:w="520"/>
          </w:tcPr>
          <w:p>
            <w:pPr>
              <w:jc w:val="center"/>
            </w:pPr>
            <w:r>
              <w:rPr>
                <w:b/>
                <w:sz w:val="16"/>
              </w:rPr>
              <w:t>Severity</w:t>
            </w:r>
          </w:p>
        </w:tc>
        <w:tc>
          <w:tcPr>
            <w:tcW w:type="dxa" w:w="520"/>
          </w:tcPr>
          <w:p>
            <w:pPr>
              <w:jc w:val="center"/>
            </w:pPr>
            <w:r>
              <w:rPr>
                <w:b/>
                <w:sz w:val="16"/>
              </w:rPr>
              <w:t>E01 F1</w:t>
            </w:r>
          </w:p>
        </w:tc>
        <w:tc>
          <w:tcPr>
            <w:tcW w:type="dxa" w:w="520"/>
          </w:tcPr>
          <w:p>
            <w:pPr>
              <w:jc w:val="center"/>
            </w:pPr>
            <w:r>
              <w:rPr>
                <w:b/>
                <w:sz w:val="16"/>
              </w:rPr>
              <w:t>E07 F1</w:t>
            </w:r>
          </w:p>
        </w:tc>
        <w:tc>
          <w:tcPr>
            <w:tcW w:type="dxa" w:w="520"/>
          </w:tcPr>
          <w:p>
            <w:pPr>
              <w:jc w:val="center"/>
            </w:pPr>
            <w:r>
              <w:rPr>
                <w:b/>
                <w:sz w:val="16"/>
              </w:rPr>
              <w:t>ΔF1</w:t>
            </w:r>
          </w:p>
        </w:tc>
        <w:tc>
          <w:tcPr>
            <w:tcW w:type="dxa" w:w="520"/>
          </w:tcPr>
          <w:p>
            <w:pPr>
              <w:jc w:val="center"/>
            </w:pPr>
            <w:r>
              <w:rPr>
                <w:b/>
                <w:sz w:val="16"/>
              </w:rPr>
              <w:t>E01 AUC</w:t>
            </w:r>
          </w:p>
        </w:tc>
        <w:tc>
          <w:tcPr>
            <w:tcW w:type="dxa" w:w="520"/>
          </w:tcPr>
          <w:p>
            <w:pPr>
              <w:jc w:val="center"/>
            </w:pPr>
            <w:r>
              <w:rPr>
                <w:b/>
                <w:sz w:val="16"/>
              </w:rPr>
              <w:t>E07 AUC</w:t>
            </w:r>
          </w:p>
        </w:tc>
        <w:tc>
          <w:tcPr>
            <w:tcW w:type="dxa" w:w="520"/>
          </w:tcPr>
          <w:p>
            <w:pPr>
              <w:jc w:val="center"/>
            </w:pPr>
            <w:r>
              <w:rPr>
                <w:b/>
                <w:sz w:val="16"/>
              </w:rPr>
              <w:t>ΔAUC</w:t>
            </w:r>
          </w:p>
        </w:tc>
        <w:tc>
          <w:tcPr>
            <w:tcW w:type="dxa" w:w="520"/>
          </w:tcPr>
          <w:p>
            <w:pPr>
              <w:jc w:val="center"/>
            </w:pPr>
            <w:r>
              <w:rPr>
                <w:b/>
                <w:sz w:val="16"/>
              </w:rPr>
              <w:t>E01 PR-AUC</w:t>
            </w:r>
          </w:p>
        </w:tc>
        <w:tc>
          <w:tcPr>
            <w:tcW w:type="dxa" w:w="520"/>
          </w:tcPr>
          <w:p>
            <w:pPr>
              <w:jc w:val="center"/>
            </w:pPr>
            <w:r>
              <w:rPr>
                <w:b/>
                <w:sz w:val="16"/>
              </w:rPr>
              <w:t>E07 PR-AUC</w:t>
            </w:r>
          </w:p>
        </w:tc>
        <w:tc>
          <w:tcPr>
            <w:tcW w:type="dxa" w:w="520"/>
          </w:tcPr>
          <w:p>
            <w:pPr>
              <w:jc w:val="center"/>
            </w:pPr>
            <w:r>
              <w:rPr>
                <w:b/>
                <w:sz w:val="16"/>
              </w:rPr>
              <w:t>ΔPR-AUC</w:t>
            </w:r>
          </w:p>
        </w:tc>
        <w:tc>
          <w:tcPr>
            <w:tcW w:type="dxa" w:w="520"/>
          </w:tcPr>
          <w:p>
            <w:pPr>
              <w:jc w:val="center"/>
            </w:pPr>
            <w:r>
              <w:rPr>
                <w:b/>
                <w:sz w:val="16"/>
              </w:rPr>
              <w:t>E01 APCER</w:t>
            </w:r>
          </w:p>
        </w:tc>
        <w:tc>
          <w:tcPr>
            <w:tcW w:type="dxa" w:w="520"/>
          </w:tcPr>
          <w:p>
            <w:pPr>
              <w:jc w:val="center"/>
            </w:pPr>
            <w:r>
              <w:rPr>
                <w:b/>
                <w:sz w:val="16"/>
              </w:rPr>
              <w:t>E07 APCER</w:t>
            </w:r>
          </w:p>
        </w:tc>
        <w:tc>
          <w:tcPr>
            <w:tcW w:type="dxa" w:w="520"/>
          </w:tcPr>
          <w:p>
            <w:pPr>
              <w:jc w:val="center"/>
            </w:pPr>
            <w:r>
              <w:rPr>
                <w:b/>
                <w:sz w:val="16"/>
              </w:rPr>
              <w:t>E01 BPCER</w:t>
            </w:r>
          </w:p>
        </w:tc>
        <w:tc>
          <w:tcPr>
            <w:tcW w:type="dxa" w:w="520"/>
          </w:tcPr>
          <w:p>
            <w:pPr>
              <w:jc w:val="center"/>
            </w:pPr>
            <w:r>
              <w:rPr>
                <w:b/>
                <w:sz w:val="16"/>
              </w:rPr>
              <w:t>E07 BPCER</w:t>
            </w:r>
          </w:p>
        </w:tc>
        <w:tc>
          <w:tcPr>
            <w:tcW w:type="dxa" w:w="520"/>
          </w:tcPr>
          <w:p>
            <w:pPr>
              <w:jc w:val="center"/>
            </w:pPr>
            <w:r>
              <w:rPr>
                <w:b/>
                <w:sz w:val="16"/>
              </w:rPr>
              <w:t>E01 ACER</w:t>
            </w:r>
          </w:p>
        </w:tc>
        <w:tc>
          <w:tcPr>
            <w:tcW w:type="dxa" w:w="520"/>
          </w:tcPr>
          <w:p>
            <w:pPr>
              <w:jc w:val="center"/>
            </w:pPr>
            <w:r>
              <w:rPr>
                <w:b/>
                <w:sz w:val="16"/>
              </w:rPr>
              <w:t>E07 ACER</w:t>
            </w:r>
          </w:p>
        </w:tc>
        <w:tc>
          <w:tcPr>
            <w:tcW w:type="dxa" w:w="520"/>
          </w:tcPr>
          <w:p>
            <w:pPr>
              <w:jc w:val="center"/>
            </w:pPr>
            <w:r>
              <w:rPr>
                <w:b/>
                <w:sz w:val="16"/>
              </w:rPr>
              <w:t>ΔACER</w:t>
            </w:r>
          </w:p>
        </w:tc>
      </w:tr>
      <w:tr>
        <w:tc>
          <w:tcPr>
            <w:tcW w:type="dxa" w:w="520"/>
          </w:tcPr>
          <w:p>
            <w:pPr>
              <w:jc w:val="left"/>
            </w:pPr>
            <w:r>
              <w:rPr>
                <w:sz w:val="16"/>
              </w:rPr>
              <w:t>blur</w:t>
            </w:r>
          </w:p>
        </w:tc>
        <w:tc>
          <w:tcPr>
            <w:tcW w:type="dxa" w:w="520"/>
          </w:tcPr>
          <w:p>
            <w:pPr>
              <w:jc w:val="center"/>
            </w:pPr>
            <w:r>
              <w:rPr>
                <w:sz w:val="16"/>
              </w:rPr>
              <w:t>light</w:t>
            </w:r>
          </w:p>
        </w:tc>
        <w:tc>
          <w:tcPr>
            <w:tcW w:type="dxa" w:w="520"/>
          </w:tcPr>
          <w:p>
            <w:pPr>
              <w:jc w:val="center"/>
            </w:pPr>
            <w:r>
              <w:rPr>
                <w:sz w:val="16"/>
              </w:rPr>
              <w:t>0.9785</w:t>
            </w:r>
          </w:p>
        </w:tc>
        <w:tc>
          <w:tcPr>
            <w:tcW w:type="dxa" w:w="520"/>
          </w:tcPr>
          <w:p>
            <w:pPr>
              <w:jc w:val="center"/>
            </w:pPr>
            <w:r>
              <w:rPr>
                <w:sz w:val="16"/>
              </w:rPr>
              <w:t>0.9815</w:t>
            </w:r>
          </w:p>
        </w:tc>
        <w:tc>
          <w:tcPr>
            <w:tcW w:type="dxa" w:w="520"/>
          </w:tcPr>
          <w:p>
            <w:pPr>
              <w:jc w:val="center"/>
            </w:pPr>
            <w:r>
              <w:rPr>
                <w:sz w:val="16"/>
              </w:rPr>
              <w:t>+0.0030</w:t>
            </w:r>
          </w:p>
        </w:tc>
        <w:tc>
          <w:tcPr>
            <w:tcW w:type="dxa" w:w="520"/>
          </w:tcPr>
          <w:p>
            <w:pPr>
              <w:jc w:val="center"/>
            </w:pPr>
            <w:r>
              <w:rPr>
                <w:sz w:val="16"/>
              </w:rPr>
              <w:t>0.9964</w:t>
            </w:r>
          </w:p>
        </w:tc>
        <w:tc>
          <w:tcPr>
            <w:tcW w:type="dxa" w:w="520"/>
          </w:tcPr>
          <w:p>
            <w:pPr>
              <w:jc w:val="center"/>
            </w:pPr>
            <w:r>
              <w:rPr>
                <w:sz w:val="16"/>
              </w:rPr>
              <w:t>0.9964</w:t>
            </w:r>
          </w:p>
        </w:tc>
        <w:tc>
          <w:tcPr>
            <w:tcW w:type="dxa" w:w="520"/>
          </w:tcPr>
          <w:p>
            <w:pPr>
              <w:jc w:val="center"/>
            </w:pPr>
            <w:r>
              <w:rPr>
                <w:sz w:val="16"/>
              </w:rPr>
              <w:t>+0.0000</w:t>
            </w:r>
          </w:p>
        </w:tc>
        <w:tc>
          <w:tcPr>
            <w:tcW w:type="dxa" w:w="520"/>
          </w:tcPr>
          <w:p>
            <w:pPr>
              <w:jc w:val="center"/>
            </w:pPr>
            <w:r>
              <w:rPr>
                <w:sz w:val="16"/>
              </w:rPr>
              <w:t>0.9979</w:t>
            </w:r>
          </w:p>
        </w:tc>
        <w:tc>
          <w:tcPr>
            <w:tcW w:type="dxa" w:w="520"/>
          </w:tcPr>
          <w:p>
            <w:pPr>
              <w:jc w:val="center"/>
            </w:pPr>
            <w:r>
              <w:rPr>
                <w:sz w:val="16"/>
              </w:rPr>
              <w:t>0.9980</w:t>
            </w:r>
          </w:p>
        </w:tc>
        <w:tc>
          <w:tcPr>
            <w:tcW w:type="dxa" w:w="520"/>
          </w:tcPr>
          <w:p>
            <w:pPr>
              <w:jc w:val="center"/>
            </w:pPr>
            <w:r>
              <w:rPr>
                <w:sz w:val="16"/>
              </w:rPr>
              <w:t>+0.0001</w:t>
            </w:r>
          </w:p>
        </w:tc>
        <w:tc>
          <w:tcPr>
            <w:tcW w:type="dxa" w:w="520"/>
          </w:tcPr>
          <w:p>
            <w:pPr>
              <w:jc w:val="center"/>
            </w:pPr>
            <w:r>
              <w:rPr>
                <w:sz w:val="16"/>
              </w:rPr>
              <w:t>0.0054</w:t>
            </w:r>
          </w:p>
        </w:tc>
        <w:tc>
          <w:tcPr>
            <w:tcW w:type="dxa" w:w="520"/>
          </w:tcPr>
          <w:p>
            <w:pPr>
              <w:jc w:val="center"/>
            </w:pPr>
            <w:r>
              <w:rPr>
                <w:sz w:val="16"/>
              </w:rPr>
              <w:t>0.0130</w:t>
            </w:r>
          </w:p>
        </w:tc>
        <w:tc>
          <w:tcPr>
            <w:tcW w:type="dxa" w:w="520"/>
          </w:tcPr>
          <w:p>
            <w:pPr>
              <w:jc w:val="center"/>
            </w:pPr>
            <w:r>
              <w:rPr>
                <w:sz w:val="16"/>
              </w:rPr>
              <w:t>0.0725</w:t>
            </w:r>
          </w:p>
        </w:tc>
        <w:tc>
          <w:tcPr>
            <w:tcW w:type="dxa" w:w="520"/>
          </w:tcPr>
          <w:p>
            <w:pPr>
              <w:jc w:val="center"/>
            </w:pPr>
            <w:r>
              <w:rPr>
                <w:sz w:val="16"/>
              </w:rPr>
              <w:t>0.0460</w:t>
            </w:r>
          </w:p>
        </w:tc>
        <w:tc>
          <w:tcPr>
            <w:tcW w:type="dxa" w:w="520"/>
          </w:tcPr>
          <w:p>
            <w:pPr>
              <w:jc w:val="center"/>
            </w:pPr>
            <w:r>
              <w:rPr>
                <w:sz w:val="16"/>
              </w:rPr>
              <w:t>0.0390</w:t>
            </w:r>
          </w:p>
        </w:tc>
        <w:tc>
          <w:tcPr>
            <w:tcW w:type="dxa" w:w="520"/>
          </w:tcPr>
          <w:p>
            <w:pPr>
              <w:jc w:val="center"/>
            </w:pPr>
            <w:r>
              <w:rPr>
                <w:sz w:val="16"/>
              </w:rPr>
              <w:t>0.0295</w:t>
            </w:r>
          </w:p>
        </w:tc>
        <w:tc>
          <w:tcPr>
            <w:tcW w:type="dxa" w:w="520"/>
          </w:tcPr>
          <w:p>
            <w:pPr>
              <w:jc w:val="center"/>
            </w:pPr>
            <w:r>
              <w:rPr>
                <w:sz w:val="16"/>
              </w:rPr>
              <w:t>-0.0095</w:t>
            </w:r>
          </w:p>
        </w:tc>
      </w:tr>
      <w:tr>
        <w:tc>
          <w:tcPr>
            <w:tcW w:type="dxa" w:w="520"/>
          </w:tcPr>
          <w:p>
            <w:pPr>
              <w:jc w:val="left"/>
            </w:pPr>
            <w:r>
              <w:rPr>
                <w:sz w:val="16"/>
              </w:rPr>
              <w:t>blur</w:t>
            </w:r>
          </w:p>
        </w:tc>
        <w:tc>
          <w:tcPr>
            <w:tcW w:type="dxa" w:w="520"/>
          </w:tcPr>
          <w:p>
            <w:pPr>
              <w:jc w:val="center"/>
            </w:pPr>
            <w:r>
              <w:rPr>
                <w:sz w:val="16"/>
              </w:rPr>
              <w:t>medium</w:t>
            </w:r>
          </w:p>
        </w:tc>
        <w:tc>
          <w:tcPr>
            <w:tcW w:type="dxa" w:w="520"/>
          </w:tcPr>
          <w:p>
            <w:pPr>
              <w:jc w:val="center"/>
            </w:pPr>
            <w:r>
              <w:rPr>
                <w:sz w:val="16"/>
              </w:rPr>
              <w:t>0.8967</w:t>
            </w:r>
          </w:p>
        </w:tc>
        <w:tc>
          <w:tcPr>
            <w:tcW w:type="dxa" w:w="520"/>
          </w:tcPr>
          <w:p>
            <w:pPr>
              <w:jc w:val="center"/>
            </w:pPr>
            <w:r>
              <w:rPr>
                <w:sz w:val="16"/>
              </w:rPr>
              <w:t>0.9757</w:t>
            </w:r>
          </w:p>
        </w:tc>
        <w:tc>
          <w:tcPr>
            <w:tcW w:type="dxa" w:w="520"/>
          </w:tcPr>
          <w:p>
            <w:pPr>
              <w:jc w:val="center"/>
            </w:pPr>
            <w:r>
              <w:rPr>
                <w:sz w:val="16"/>
              </w:rPr>
              <w:t>+0.0791</w:t>
            </w:r>
          </w:p>
        </w:tc>
        <w:tc>
          <w:tcPr>
            <w:tcW w:type="dxa" w:w="520"/>
          </w:tcPr>
          <w:p>
            <w:pPr>
              <w:jc w:val="center"/>
            </w:pPr>
            <w:r>
              <w:rPr>
                <w:sz w:val="16"/>
              </w:rPr>
              <w:t>0.9646</w:t>
            </w:r>
          </w:p>
        </w:tc>
        <w:tc>
          <w:tcPr>
            <w:tcW w:type="dxa" w:w="520"/>
          </w:tcPr>
          <w:p>
            <w:pPr>
              <w:jc w:val="center"/>
            </w:pPr>
            <w:r>
              <w:rPr>
                <w:sz w:val="16"/>
              </w:rPr>
              <w:t>0.9947</w:t>
            </w:r>
          </w:p>
        </w:tc>
        <w:tc>
          <w:tcPr>
            <w:tcW w:type="dxa" w:w="520"/>
          </w:tcPr>
          <w:p>
            <w:pPr>
              <w:jc w:val="center"/>
            </w:pPr>
            <w:r>
              <w:rPr>
                <w:sz w:val="16"/>
              </w:rPr>
              <w:t>+0.0301</w:t>
            </w:r>
          </w:p>
        </w:tc>
        <w:tc>
          <w:tcPr>
            <w:tcW w:type="dxa" w:w="520"/>
          </w:tcPr>
          <w:p>
            <w:pPr>
              <w:jc w:val="center"/>
            </w:pPr>
            <w:r>
              <w:rPr>
                <w:sz w:val="16"/>
              </w:rPr>
              <w:t>0.9802</w:t>
            </w:r>
          </w:p>
        </w:tc>
        <w:tc>
          <w:tcPr>
            <w:tcW w:type="dxa" w:w="520"/>
          </w:tcPr>
          <w:p>
            <w:pPr>
              <w:jc w:val="center"/>
            </w:pPr>
            <w:r>
              <w:rPr>
                <w:sz w:val="16"/>
              </w:rPr>
              <w:t>0.9970</w:t>
            </w:r>
          </w:p>
        </w:tc>
        <w:tc>
          <w:tcPr>
            <w:tcW w:type="dxa" w:w="520"/>
          </w:tcPr>
          <w:p>
            <w:pPr>
              <w:jc w:val="center"/>
            </w:pPr>
            <w:r>
              <w:rPr>
                <w:sz w:val="16"/>
              </w:rPr>
              <w:t>+0.0168</w:t>
            </w:r>
          </w:p>
        </w:tc>
        <w:tc>
          <w:tcPr>
            <w:tcW w:type="dxa" w:w="520"/>
          </w:tcPr>
          <w:p>
            <w:pPr>
              <w:jc w:val="center"/>
            </w:pPr>
            <w:r>
              <w:rPr>
                <w:sz w:val="16"/>
              </w:rPr>
              <w:t>0.0067</w:t>
            </w:r>
          </w:p>
        </w:tc>
        <w:tc>
          <w:tcPr>
            <w:tcW w:type="dxa" w:w="520"/>
          </w:tcPr>
          <w:p>
            <w:pPr>
              <w:jc w:val="center"/>
            </w:pPr>
            <w:r>
              <w:rPr>
                <w:sz w:val="16"/>
              </w:rPr>
              <w:t>0.0146</w:t>
            </w:r>
          </w:p>
        </w:tc>
        <w:tc>
          <w:tcPr>
            <w:tcW w:type="dxa" w:w="520"/>
          </w:tcPr>
          <w:p>
            <w:pPr>
              <w:jc w:val="center"/>
            </w:pPr>
            <w:r>
              <w:rPr>
                <w:sz w:val="16"/>
              </w:rPr>
              <w:t>0.4218</w:t>
            </w:r>
          </w:p>
        </w:tc>
        <w:tc>
          <w:tcPr>
            <w:tcW w:type="dxa" w:w="520"/>
          </w:tcPr>
          <w:p>
            <w:pPr>
              <w:jc w:val="center"/>
            </w:pPr>
            <w:r>
              <w:rPr>
                <w:sz w:val="16"/>
              </w:rPr>
              <w:t>0.0653</w:t>
            </w:r>
          </w:p>
        </w:tc>
        <w:tc>
          <w:tcPr>
            <w:tcW w:type="dxa" w:w="520"/>
          </w:tcPr>
          <w:p>
            <w:pPr>
              <w:jc w:val="center"/>
            </w:pPr>
            <w:r>
              <w:rPr>
                <w:sz w:val="16"/>
              </w:rPr>
              <w:t>0.2143</w:t>
            </w:r>
          </w:p>
        </w:tc>
        <w:tc>
          <w:tcPr>
            <w:tcW w:type="dxa" w:w="520"/>
          </w:tcPr>
          <w:p>
            <w:pPr>
              <w:jc w:val="center"/>
            </w:pPr>
            <w:r>
              <w:rPr>
                <w:sz w:val="16"/>
              </w:rPr>
              <w:t>0.0400</w:t>
            </w:r>
          </w:p>
        </w:tc>
        <w:tc>
          <w:tcPr>
            <w:tcW w:type="dxa" w:w="520"/>
          </w:tcPr>
          <w:p>
            <w:pPr>
              <w:jc w:val="center"/>
            </w:pPr>
            <w:r>
              <w:rPr>
                <w:sz w:val="16"/>
              </w:rPr>
              <w:t>-0.1743</w:t>
            </w:r>
          </w:p>
        </w:tc>
      </w:tr>
      <w:tr>
        <w:tc>
          <w:tcPr>
            <w:tcW w:type="dxa" w:w="520"/>
          </w:tcPr>
          <w:p>
            <w:pPr>
              <w:jc w:val="left"/>
            </w:pPr>
            <w:r>
              <w:rPr>
                <w:sz w:val="16"/>
              </w:rPr>
              <w:t>blur</w:t>
            </w:r>
          </w:p>
        </w:tc>
        <w:tc>
          <w:tcPr>
            <w:tcW w:type="dxa" w:w="520"/>
          </w:tcPr>
          <w:p>
            <w:pPr>
              <w:jc w:val="center"/>
            </w:pPr>
            <w:r>
              <w:rPr>
                <w:sz w:val="16"/>
              </w:rPr>
              <w:t>strong</w:t>
            </w:r>
          </w:p>
        </w:tc>
        <w:tc>
          <w:tcPr>
            <w:tcW w:type="dxa" w:w="520"/>
          </w:tcPr>
          <w:p>
            <w:pPr>
              <w:jc w:val="center"/>
            </w:pPr>
            <w:r>
              <w:rPr>
                <w:sz w:val="16"/>
              </w:rPr>
              <w:t>0.8489</w:t>
            </w:r>
          </w:p>
        </w:tc>
        <w:tc>
          <w:tcPr>
            <w:tcW w:type="dxa" w:w="520"/>
          </w:tcPr>
          <w:p>
            <w:pPr>
              <w:jc w:val="center"/>
            </w:pPr>
            <w:r>
              <w:rPr>
                <w:sz w:val="16"/>
              </w:rPr>
              <w:t>0.9677</w:t>
            </w:r>
          </w:p>
        </w:tc>
        <w:tc>
          <w:tcPr>
            <w:tcW w:type="dxa" w:w="520"/>
          </w:tcPr>
          <w:p>
            <w:pPr>
              <w:jc w:val="center"/>
            </w:pPr>
            <w:r>
              <w:rPr>
                <w:sz w:val="16"/>
              </w:rPr>
              <w:t>+0.1188</w:t>
            </w:r>
          </w:p>
        </w:tc>
        <w:tc>
          <w:tcPr>
            <w:tcW w:type="dxa" w:w="520"/>
          </w:tcPr>
          <w:p>
            <w:pPr>
              <w:jc w:val="center"/>
            </w:pPr>
            <w:r>
              <w:rPr>
                <w:sz w:val="16"/>
              </w:rPr>
              <w:t>0.9161</w:t>
            </w:r>
          </w:p>
        </w:tc>
        <w:tc>
          <w:tcPr>
            <w:tcW w:type="dxa" w:w="520"/>
          </w:tcPr>
          <w:p>
            <w:pPr>
              <w:jc w:val="center"/>
            </w:pPr>
            <w:r>
              <w:rPr>
                <w:sz w:val="16"/>
              </w:rPr>
              <w:t>0.9906</w:t>
            </w:r>
          </w:p>
        </w:tc>
        <w:tc>
          <w:tcPr>
            <w:tcW w:type="dxa" w:w="520"/>
          </w:tcPr>
          <w:p>
            <w:pPr>
              <w:jc w:val="center"/>
            </w:pPr>
            <w:r>
              <w:rPr>
                <w:sz w:val="16"/>
              </w:rPr>
              <w:t>+0.0745</w:t>
            </w:r>
          </w:p>
        </w:tc>
        <w:tc>
          <w:tcPr>
            <w:tcW w:type="dxa" w:w="520"/>
          </w:tcPr>
          <w:p>
            <w:pPr>
              <w:jc w:val="center"/>
            </w:pPr>
            <w:r>
              <w:rPr>
                <w:sz w:val="16"/>
              </w:rPr>
              <w:t>0.9523</w:t>
            </w:r>
          </w:p>
        </w:tc>
        <w:tc>
          <w:tcPr>
            <w:tcW w:type="dxa" w:w="520"/>
          </w:tcPr>
          <w:p>
            <w:pPr>
              <w:jc w:val="center"/>
            </w:pPr>
            <w:r>
              <w:rPr>
                <w:sz w:val="16"/>
              </w:rPr>
              <w:t>0.9947</w:t>
            </w:r>
          </w:p>
        </w:tc>
        <w:tc>
          <w:tcPr>
            <w:tcW w:type="dxa" w:w="520"/>
          </w:tcPr>
          <w:p>
            <w:pPr>
              <w:jc w:val="center"/>
            </w:pPr>
            <w:r>
              <w:rPr>
                <w:sz w:val="16"/>
              </w:rPr>
              <w:t>+0.0424</w:t>
            </w:r>
          </w:p>
        </w:tc>
        <w:tc>
          <w:tcPr>
            <w:tcW w:type="dxa" w:w="520"/>
          </w:tcPr>
          <w:p>
            <w:pPr>
              <w:jc w:val="center"/>
            </w:pPr>
            <w:r>
              <w:rPr>
                <w:sz w:val="16"/>
              </w:rPr>
              <w:t>0.0089</w:t>
            </w:r>
          </w:p>
        </w:tc>
        <w:tc>
          <w:tcPr>
            <w:tcW w:type="dxa" w:w="520"/>
          </w:tcPr>
          <w:p>
            <w:pPr>
              <w:jc w:val="center"/>
            </w:pPr>
            <w:r>
              <w:rPr>
                <w:sz w:val="16"/>
              </w:rPr>
              <w:t>0.0221</w:t>
            </w:r>
          </w:p>
        </w:tc>
        <w:tc>
          <w:tcPr>
            <w:tcW w:type="dxa" w:w="520"/>
          </w:tcPr>
          <w:p>
            <w:pPr>
              <w:jc w:val="center"/>
            </w:pPr>
            <w:r>
              <w:rPr>
                <w:sz w:val="16"/>
              </w:rPr>
              <w:t>0.6532</w:t>
            </w:r>
          </w:p>
        </w:tc>
        <w:tc>
          <w:tcPr>
            <w:tcW w:type="dxa" w:w="520"/>
          </w:tcPr>
          <w:p>
            <w:pPr>
              <w:jc w:val="center"/>
            </w:pPr>
            <w:r>
              <w:rPr>
                <w:sz w:val="16"/>
              </w:rPr>
              <w:t>0.0821</w:t>
            </w:r>
          </w:p>
        </w:tc>
        <w:tc>
          <w:tcPr>
            <w:tcW w:type="dxa" w:w="520"/>
          </w:tcPr>
          <w:p>
            <w:pPr>
              <w:jc w:val="center"/>
            </w:pPr>
            <w:r>
              <w:rPr>
                <w:sz w:val="16"/>
              </w:rPr>
              <w:t>0.3310</w:t>
            </w:r>
          </w:p>
        </w:tc>
        <w:tc>
          <w:tcPr>
            <w:tcW w:type="dxa" w:w="520"/>
          </w:tcPr>
          <w:p>
            <w:pPr>
              <w:jc w:val="center"/>
            </w:pPr>
            <w:r>
              <w:rPr>
                <w:sz w:val="16"/>
              </w:rPr>
              <w:t>0.0521</w:t>
            </w:r>
          </w:p>
        </w:tc>
        <w:tc>
          <w:tcPr>
            <w:tcW w:type="dxa" w:w="520"/>
          </w:tcPr>
          <w:p>
            <w:pPr>
              <w:jc w:val="center"/>
            </w:pPr>
            <w:r>
              <w:rPr>
                <w:sz w:val="16"/>
              </w:rPr>
              <w:t>-0.2789</w:t>
            </w:r>
          </w:p>
        </w:tc>
      </w:tr>
      <w:tr>
        <w:tc>
          <w:tcPr>
            <w:tcW w:type="dxa" w:w="520"/>
          </w:tcPr>
          <w:p>
            <w:pPr>
              <w:jc w:val="left"/>
            </w:pPr>
            <w:r>
              <w:rPr>
                <w:sz w:val="16"/>
              </w:rPr>
              <w:t>brightness</w:t>
            </w:r>
          </w:p>
        </w:tc>
        <w:tc>
          <w:tcPr>
            <w:tcW w:type="dxa" w:w="520"/>
          </w:tcPr>
          <w:p>
            <w:pPr>
              <w:jc w:val="center"/>
            </w:pPr>
            <w:r>
              <w:rPr>
                <w:sz w:val="16"/>
              </w:rPr>
              <w:t>bright</w:t>
            </w:r>
          </w:p>
        </w:tc>
        <w:tc>
          <w:tcPr>
            <w:tcW w:type="dxa" w:w="520"/>
          </w:tcPr>
          <w:p>
            <w:pPr>
              <w:jc w:val="center"/>
            </w:pPr>
            <w:r>
              <w:rPr>
                <w:sz w:val="16"/>
              </w:rPr>
              <w:t>0.7985</w:t>
            </w:r>
          </w:p>
        </w:tc>
        <w:tc>
          <w:tcPr>
            <w:tcW w:type="dxa" w:w="520"/>
          </w:tcPr>
          <w:p>
            <w:pPr>
              <w:jc w:val="center"/>
            </w:pPr>
            <w:r>
              <w:rPr>
                <w:sz w:val="16"/>
              </w:rPr>
              <w:t>0.9571</w:t>
            </w:r>
          </w:p>
        </w:tc>
        <w:tc>
          <w:tcPr>
            <w:tcW w:type="dxa" w:w="520"/>
          </w:tcPr>
          <w:p>
            <w:pPr>
              <w:jc w:val="center"/>
            </w:pPr>
            <w:r>
              <w:rPr>
                <w:sz w:val="16"/>
              </w:rPr>
              <w:t>+0.1586</w:t>
            </w:r>
          </w:p>
        </w:tc>
        <w:tc>
          <w:tcPr>
            <w:tcW w:type="dxa" w:w="520"/>
          </w:tcPr>
          <w:p>
            <w:pPr>
              <w:jc w:val="center"/>
            </w:pPr>
            <w:r>
              <w:rPr>
                <w:sz w:val="16"/>
              </w:rPr>
              <w:t>0.9744</w:t>
            </w:r>
          </w:p>
        </w:tc>
        <w:tc>
          <w:tcPr>
            <w:tcW w:type="dxa" w:w="520"/>
          </w:tcPr>
          <w:p>
            <w:pPr>
              <w:jc w:val="center"/>
            </w:pPr>
            <w:r>
              <w:rPr>
                <w:sz w:val="16"/>
              </w:rPr>
              <w:t>0.9876</w:t>
            </w:r>
          </w:p>
        </w:tc>
        <w:tc>
          <w:tcPr>
            <w:tcW w:type="dxa" w:w="520"/>
          </w:tcPr>
          <w:p>
            <w:pPr>
              <w:jc w:val="center"/>
            </w:pPr>
            <w:r>
              <w:rPr>
                <w:sz w:val="16"/>
              </w:rPr>
              <w:t>+0.0131</w:t>
            </w:r>
          </w:p>
        </w:tc>
        <w:tc>
          <w:tcPr>
            <w:tcW w:type="dxa" w:w="520"/>
          </w:tcPr>
          <w:p>
            <w:pPr>
              <w:jc w:val="center"/>
            </w:pPr>
            <w:r>
              <w:rPr>
                <w:sz w:val="16"/>
              </w:rPr>
              <w:t>0.9848</w:t>
            </w:r>
          </w:p>
        </w:tc>
        <w:tc>
          <w:tcPr>
            <w:tcW w:type="dxa" w:w="520"/>
          </w:tcPr>
          <w:p>
            <w:pPr>
              <w:jc w:val="center"/>
            </w:pPr>
            <w:r>
              <w:rPr>
                <w:sz w:val="16"/>
              </w:rPr>
              <w:t>0.9926</w:t>
            </w:r>
          </w:p>
        </w:tc>
        <w:tc>
          <w:tcPr>
            <w:tcW w:type="dxa" w:w="520"/>
          </w:tcPr>
          <w:p>
            <w:pPr>
              <w:jc w:val="center"/>
            </w:pPr>
            <w:r>
              <w:rPr>
                <w:sz w:val="16"/>
              </w:rPr>
              <w:t>+0.0078</w:t>
            </w:r>
          </w:p>
        </w:tc>
        <w:tc>
          <w:tcPr>
            <w:tcW w:type="dxa" w:w="520"/>
          </w:tcPr>
          <w:p>
            <w:pPr>
              <w:jc w:val="center"/>
            </w:pPr>
            <w:r>
              <w:rPr>
                <w:sz w:val="16"/>
              </w:rPr>
              <w:t>0.3300</w:t>
            </w:r>
          </w:p>
        </w:tc>
        <w:tc>
          <w:tcPr>
            <w:tcW w:type="dxa" w:w="520"/>
          </w:tcPr>
          <w:p>
            <w:pPr>
              <w:jc w:val="center"/>
            </w:pPr>
            <w:r>
              <w:rPr>
                <w:sz w:val="16"/>
              </w:rPr>
              <w:t>0.0578</w:t>
            </w:r>
          </w:p>
        </w:tc>
        <w:tc>
          <w:tcPr>
            <w:tcW w:type="dxa" w:w="520"/>
          </w:tcPr>
          <w:p>
            <w:pPr>
              <w:jc w:val="center"/>
            </w:pPr>
            <w:r>
              <w:rPr>
                <w:sz w:val="16"/>
              </w:rPr>
              <w:t>0.0157</w:t>
            </w:r>
          </w:p>
        </w:tc>
        <w:tc>
          <w:tcPr>
            <w:tcW w:type="dxa" w:w="520"/>
          </w:tcPr>
          <w:p>
            <w:pPr>
              <w:jc w:val="center"/>
            </w:pPr>
            <w:r>
              <w:rPr>
                <w:sz w:val="16"/>
              </w:rPr>
              <w:t>0.0505</w:t>
            </w:r>
          </w:p>
        </w:tc>
        <w:tc>
          <w:tcPr>
            <w:tcW w:type="dxa" w:w="520"/>
          </w:tcPr>
          <w:p>
            <w:pPr>
              <w:jc w:val="center"/>
            </w:pPr>
            <w:r>
              <w:rPr>
                <w:sz w:val="16"/>
              </w:rPr>
              <w:t>0.1728</w:t>
            </w:r>
          </w:p>
        </w:tc>
        <w:tc>
          <w:tcPr>
            <w:tcW w:type="dxa" w:w="520"/>
          </w:tcPr>
          <w:p>
            <w:pPr>
              <w:jc w:val="center"/>
            </w:pPr>
            <w:r>
              <w:rPr>
                <w:sz w:val="16"/>
              </w:rPr>
              <w:t>0.0542</w:t>
            </w:r>
          </w:p>
        </w:tc>
        <w:tc>
          <w:tcPr>
            <w:tcW w:type="dxa" w:w="520"/>
          </w:tcPr>
          <w:p>
            <w:pPr>
              <w:jc w:val="center"/>
            </w:pPr>
            <w:r>
              <w:rPr>
                <w:sz w:val="16"/>
              </w:rPr>
              <w:t>-0.1187</w:t>
            </w:r>
          </w:p>
        </w:tc>
      </w:tr>
      <w:tr>
        <w:tc>
          <w:tcPr>
            <w:tcW w:type="dxa" w:w="520"/>
          </w:tcPr>
          <w:p>
            <w:pPr>
              <w:jc w:val="left"/>
            </w:pPr>
            <w:r>
              <w:rPr>
                <w:sz w:val="16"/>
              </w:rPr>
              <w:t>brightness</w:t>
            </w:r>
          </w:p>
        </w:tc>
        <w:tc>
          <w:tcPr>
            <w:tcW w:type="dxa" w:w="520"/>
          </w:tcPr>
          <w:p>
            <w:pPr>
              <w:jc w:val="center"/>
            </w:pPr>
            <w:r>
              <w:rPr>
                <w:sz w:val="16"/>
              </w:rPr>
              <w:t>dark</w:t>
            </w:r>
          </w:p>
        </w:tc>
        <w:tc>
          <w:tcPr>
            <w:tcW w:type="dxa" w:w="520"/>
          </w:tcPr>
          <w:p>
            <w:pPr>
              <w:jc w:val="center"/>
            </w:pPr>
            <w:r>
              <w:rPr>
                <w:sz w:val="16"/>
              </w:rPr>
              <w:t>0.9190</w:t>
            </w:r>
          </w:p>
        </w:tc>
        <w:tc>
          <w:tcPr>
            <w:tcW w:type="dxa" w:w="520"/>
          </w:tcPr>
          <w:p>
            <w:pPr>
              <w:jc w:val="center"/>
            </w:pPr>
            <w:r>
              <w:rPr>
                <w:sz w:val="16"/>
              </w:rPr>
              <w:t>0.9446</w:t>
            </w:r>
          </w:p>
        </w:tc>
        <w:tc>
          <w:tcPr>
            <w:tcW w:type="dxa" w:w="520"/>
          </w:tcPr>
          <w:p>
            <w:pPr>
              <w:jc w:val="center"/>
            </w:pPr>
            <w:r>
              <w:rPr>
                <w:sz w:val="16"/>
              </w:rPr>
              <w:t>+0.0255</w:t>
            </w:r>
          </w:p>
        </w:tc>
        <w:tc>
          <w:tcPr>
            <w:tcW w:type="dxa" w:w="520"/>
          </w:tcPr>
          <w:p>
            <w:pPr>
              <w:jc w:val="center"/>
            </w:pPr>
            <w:r>
              <w:rPr>
                <w:sz w:val="16"/>
              </w:rPr>
              <w:t>0.9628</w:t>
            </w:r>
          </w:p>
        </w:tc>
        <w:tc>
          <w:tcPr>
            <w:tcW w:type="dxa" w:w="520"/>
          </w:tcPr>
          <w:p>
            <w:pPr>
              <w:jc w:val="center"/>
            </w:pPr>
            <w:r>
              <w:rPr>
                <w:sz w:val="16"/>
              </w:rPr>
              <w:t>0.9805</w:t>
            </w:r>
          </w:p>
        </w:tc>
        <w:tc>
          <w:tcPr>
            <w:tcW w:type="dxa" w:w="520"/>
          </w:tcPr>
          <w:p>
            <w:pPr>
              <w:jc w:val="center"/>
            </w:pPr>
            <w:r>
              <w:rPr>
                <w:sz w:val="16"/>
              </w:rPr>
              <w:t>+0.0177</w:t>
            </w:r>
          </w:p>
        </w:tc>
        <w:tc>
          <w:tcPr>
            <w:tcW w:type="dxa" w:w="520"/>
          </w:tcPr>
          <w:p>
            <w:pPr>
              <w:jc w:val="center"/>
            </w:pPr>
            <w:r>
              <w:rPr>
                <w:sz w:val="16"/>
              </w:rPr>
              <w:t>0.9788</w:t>
            </w:r>
          </w:p>
        </w:tc>
        <w:tc>
          <w:tcPr>
            <w:tcW w:type="dxa" w:w="520"/>
          </w:tcPr>
          <w:p>
            <w:pPr>
              <w:jc w:val="center"/>
            </w:pPr>
            <w:r>
              <w:rPr>
                <w:sz w:val="16"/>
              </w:rPr>
              <w:t>0.9890</w:t>
            </w:r>
          </w:p>
        </w:tc>
        <w:tc>
          <w:tcPr>
            <w:tcW w:type="dxa" w:w="520"/>
          </w:tcPr>
          <w:p>
            <w:pPr>
              <w:jc w:val="center"/>
            </w:pPr>
            <w:r>
              <w:rPr>
                <w:sz w:val="16"/>
              </w:rPr>
              <w:t>+0.0102</w:t>
            </w:r>
          </w:p>
        </w:tc>
        <w:tc>
          <w:tcPr>
            <w:tcW w:type="dxa" w:w="520"/>
          </w:tcPr>
          <w:p>
            <w:pPr>
              <w:jc w:val="center"/>
            </w:pPr>
            <w:r>
              <w:rPr>
                <w:sz w:val="16"/>
              </w:rPr>
              <w:t>0.0261</w:t>
            </w:r>
          </w:p>
        </w:tc>
        <w:tc>
          <w:tcPr>
            <w:tcW w:type="dxa" w:w="520"/>
          </w:tcPr>
          <w:p>
            <w:pPr>
              <w:jc w:val="center"/>
            </w:pPr>
            <w:r>
              <w:rPr>
                <w:sz w:val="16"/>
              </w:rPr>
              <w:t>0.0184</w:t>
            </w:r>
          </w:p>
        </w:tc>
        <w:tc>
          <w:tcPr>
            <w:tcW w:type="dxa" w:w="520"/>
          </w:tcPr>
          <w:p>
            <w:pPr>
              <w:jc w:val="center"/>
            </w:pPr>
            <w:r>
              <w:rPr>
                <w:sz w:val="16"/>
              </w:rPr>
              <w:t>0.2762</w:t>
            </w:r>
          </w:p>
        </w:tc>
        <w:tc>
          <w:tcPr>
            <w:tcW w:type="dxa" w:w="520"/>
          </w:tcPr>
          <w:p>
            <w:pPr>
              <w:jc w:val="center"/>
            </w:pPr>
            <w:r>
              <w:rPr>
                <w:sz w:val="16"/>
              </w:rPr>
              <w:t>0.1839</w:t>
            </w:r>
          </w:p>
        </w:tc>
        <w:tc>
          <w:tcPr>
            <w:tcW w:type="dxa" w:w="520"/>
          </w:tcPr>
          <w:p>
            <w:pPr>
              <w:jc w:val="center"/>
            </w:pPr>
            <w:r>
              <w:rPr>
                <w:sz w:val="16"/>
              </w:rPr>
              <w:t>0.1512</w:t>
            </w:r>
          </w:p>
        </w:tc>
        <w:tc>
          <w:tcPr>
            <w:tcW w:type="dxa" w:w="520"/>
          </w:tcPr>
          <w:p>
            <w:pPr>
              <w:jc w:val="center"/>
            </w:pPr>
            <w:r>
              <w:rPr>
                <w:sz w:val="16"/>
              </w:rPr>
              <w:t>0.1012</w:t>
            </w:r>
          </w:p>
        </w:tc>
        <w:tc>
          <w:tcPr>
            <w:tcW w:type="dxa" w:w="520"/>
          </w:tcPr>
          <w:p>
            <w:pPr>
              <w:jc w:val="center"/>
            </w:pPr>
            <w:r>
              <w:rPr>
                <w:sz w:val="16"/>
              </w:rPr>
              <w:t>-0.0500</w:t>
            </w:r>
          </w:p>
        </w:tc>
      </w:tr>
      <w:tr>
        <w:tc>
          <w:tcPr>
            <w:tcW w:type="dxa" w:w="520"/>
          </w:tcPr>
          <w:p>
            <w:pPr>
              <w:jc w:val="left"/>
            </w:pPr>
            <w:r>
              <w:rPr>
                <w:sz w:val="16"/>
              </w:rPr>
              <w:t>brightness</w:t>
            </w:r>
          </w:p>
        </w:tc>
        <w:tc>
          <w:tcPr>
            <w:tcW w:type="dxa" w:w="520"/>
          </w:tcPr>
          <w:p>
            <w:pPr>
              <w:jc w:val="center"/>
            </w:pPr>
            <w:r>
              <w:rPr>
                <w:sz w:val="16"/>
              </w:rPr>
              <w:t>normal</w:t>
            </w:r>
          </w:p>
        </w:tc>
        <w:tc>
          <w:tcPr>
            <w:tcW w:type="dxa" w:w="520"/>
          </w:tcPr>
          <w:p>
            <w:pPr>
              <w:jc w:val="center"/>
            </w:pPr>
            <w:r>
              <w:rPr>
                <w:sz w:val="16"/>
              </w:rPr>
              <w:t>0.9868</w:t>
            </w:r>
          </w:p>
        </w:tc>
        <w:tc>
          <w:tcPr>
            <w:tcW w:type="dxa" w:w="520"/>
          </w:tcPr>
          <w:p>
            <w:pPr>
              <w:jc w:val="center"/>
            </w:pPr>
            <w:r>
              <w:rPr>
                <w:sz w:val="16"/>
              </w:rPr>
              <w:t>0.9831</w:t>
            </w:r>
          </w:p>
        </w:tc>
        <w:tc>
          <w:tcPr>
            <w:tcW w:type="dxa" w:w="520"/>
          </w:tcPr>
          <w:p>
            <w:pPr>
              <w:jc w:val="center"/>
            </w:pPr>
            <w:r>
              <w:rPr>
                <w:sz w:val="16"/>
              </w:rPr>
              <w:t>-0.0037</w:t>
            </w:r>
          </w:p>
        </w:tc>
        <w:tc>
          <w:tcPr>
            <w:tcW w:type="dxa" w:w="520"/>
          </w:tcPr>
          <w:p>
            <w:pPr>
              <w:jc w:val="center"/>
            </w:pPr>
            <w:r>
              <w:rPr>
                <w:sz w:val="16"/>
              </w:rPr>
              <w:t>0.9978</w:t>
            </w:r>
          </w:p>
        </w:tc>
        <w:tc>
          <w:tcPr>
            <w:tcW w:type="dxa" w:w="520"/>
          </w:tcPr>
          <w:p>
            <w:pPr>
              <w:jc w:val="center"/>
            </w:pPr>
            <w:r>
              <w:rPr>
                <w:sz w:val="16"/>
              </w:rPr>
              <w:t>0.9969</w:t>
            </w:r>
          </w:p>
        </w:tc>
        <w:tc>
          <w:tcPr>
            <w:tcW w:type="dxa" w:w="520"/>
          </w:tcPr>
          <w:p>
            <w:pPr>
              <w:jc w:val="center"/>
            </w:pPr>
            <w:r>
              <w:rPr>
                <w:sz w:val="16"/>
              </w:rPr>
              <w:t>-0.0008</w:t>
            </w:r>
          </w:p>
        </w:tc>
        <w:tc>
          <w:tcPr>
            <w:tcW w:type="dxa" w:w="520"/>
          </w:tcPr>
          <w:p>
            <w:pPr>
              <w:jc w:val="center"/>
            </w:pPr>
            <w:r>
              <w:rPr>
                <w:sz w:val="16"/>
              </w:rPr>
              <w:t>0.9987</w:t>
            </w:r>
          </w:p>
        </w:tc>
        <w:tc>
          <w:tcPr>
            <w:tcW w:type="dxa" w:w="520"/>
          </w:tcPr>
          <w:p>
            <w:pPr>
              <w:jc w:val="center"/>
            </w:pPr>
            <w:r>
              <w:rPr>
                <w:sz w:val="16"/>
              </w:rPr>
              <w:t>0.9983</w:t>
            </w:r>
          </w:p>
        </w:tc>
        <w:tc>
          <w:tcPr>
            <w:tcW w:type="dxa" w:w="520"/>
          </w:tcPr>
          <w:p>
            <w:pPr>
              <w:jc w:val="center"/>
            </w:pPr>
            <w:r>
              <w:rPr>
                <w:sz w:val="16"/>
              </w:rPr>
              <w:t>-0.0004</w:t>
            </w:r>
          </w:p>
        </w:tc>
        <w:tc>
          <w:tcPr>
            <w:tcW w:type="dxa" w:w="520"/>
          </w:tcPr>
          <w:p>
            <w:pPr>
              <w:jc w:val="center"/>
            </w:pPr>
            <w:r>
              <w:rPr>
                <w:sz w:val="16"/>
              </w:rPr>
              <w:t>0.0091</w:t>
            </w:r>
          </w:p>
        </w:tc>
        <w:tc>
          <w:tcPr>
            <w:tcW w:type="dxa" w:w="520"/>
          </w:tcPr>
          <w:p>
            <w:pPr>
              <w:jc w:val="center"/>
            </w:pPr>
            <w:r>
              <w:rPr>
                <w:sz w:val="16"/>
              </w:rPr>
              <w:t>0.0149</w:t>
            </w:r>
          </w:p>
        </w:tc>
        <w:tc>
          <w:tcPr>
            <w:tcW w:type="dxa" w:w="520"/>
          </w:tcPr>
          <w:p>
            <w:pPr>
              <w:jc w:val="center"/>
            </w:pPr>
            <w:r>
              <w:rPr>
                <w:sz w:val="16"/>
              </w:rPr>
              <w:t>0.0331</w:t>
            </w:r>
          </w:p>
        </w:tc>
        <w:tc>
          <w:tcPr>
            <w:tcW w:type="dxa" w:w="520"/>
          </w:tcPr>
          <w:p>
            <w:pPr>
              <w:jc w:val="center"/>
            </w:pPr>
            <w:r>
              <w:rPr>
                <w:sz w:val="16"/>
              </w:rPr>
              <w:t>0.0362</w:t>
            </w:r>
          </w:p>
        </w:tc>
        <w:tc>
          <w:tcPr>
            <w:tcW w:type="dxa" w:w="520"/>
          </w:tcPr>
          <w:p>
            <w:pPr>
              <w:jc w:val="center"/>
            </w:pPr>
            <w:r>
              <w:rPr>
                <w:sz w:val="16"/>
              </w:rPr>
              <w:t>0.0211</w:t>
            </w:r>
          </w:p>
        </w:tc>
        <w:tc>
          <w:tcPr>
            <w:tcW w:type="dxa" w:w="520"/>
          </w:tcPr>
          <w:p>
            <w:pPr>
              <w:jc w:val="center"/>
            </w:pPr>
            <w:r>
              <w:rPr>
                <w:sz w:val="16"/>
              </w:rPr>
              <w:t>0.0256</w:t>
            </w:r>
          </w:p>
        </w:tc>
        <w:tc>
          <w:tcPr>
            <w:tcW w:type="dxa" w:w="520"/>
          </w:tcPr>
          <w:p>
            <w:pPr>
              <w:jc w:val="center"/>
            </w:pPr>
            <w:r>
              <w:rPr>
                <w:sz w:val="16"/>
              </w:rPr>
              <w:t>+0.0044</w:t>
            </w:r>
          </w:p>
        </w:tc>
      </w:tr>
      <w:tr>
        <w:tc>
          <w:tcPr>
            <w:tcW w:type="dxa" w:w="520"/>
          </w:tcPr>
          <w:p>
            <w:pPr>
              <w:jc w:val="left"/>
            </w:pPr>
            <w:r>
              <w:rPr>
                <w:sz w:val="16"/>
              </w:rPr>
              <w:t>jpeg</w:t>
            </w:r>
          </w:p>
        </w:tc>
        <w:tc>
          <w:tcPr>
            <w:tcW w:type="dxa" w:w="520"/>
          </w:tcPr>
          <w:p>
            <w:pPr>
              <w:jc w:val="center"/>
            </w:pPr>
            <w:r>
              <w:rPr>
                <w:sz w:val="16"/>
              </w:rPr>
              <w:t>30</w:t>
            </w:r>
          </w:p>
        </w:tc>
        <w:tc>
          <w:tcPr>
            <w:tcW w:type="dxa" w:w="520"/>
          </w:tcPr>
          <w:p>
            <w:pPr>
              <w:jc w:val="center"/>
            </w:pPr>
            <w:r>
              <w:rPr>
                <w:sz w:val="16"/>
              </w:rPr>
              <w:t>0.8911</w:t>
            </w:r>
          </w:p>
        </w:tc>
        <w:tc>
          <w:tcPr>
            <w:tcW w:type="dxa" w:w="520"/>
          </w:tcPr>
          <w:p>
            <w:pPr>
              <w:jc w:val="center"/>
            </w:pPr>
            <w:r>
              <w:rPr>
                <w:sz w:val="16"/>
              </w:rPr>
              <w:t>0.9674</w:t>
            </w:r>
          </w:p>
        </w:tc>
        <w:tc>
          <w:tcPr>
            <w:tcW w:type="dxa" w:w="520"/>
          </w:tcPr>
          <w:p>
            <w:pPr>
              <w:jc w:val="center"/>
            </w:pPr>
            <w:r>
              <w:rPr>
                <w:sz w:val="16"/>
              </w:rPr>
              <w:t>+0.0763</w:t>
            </w:r>
          </w:p>
        </w:tc>
        <w:tc>
          <w:tcPr>
            <w:tcW w:type="dxa" w:w="520"/>
          </w:tcPr>
          <w:p>
            <w:pPr>
              <w:jc w:val="center"/>
            </w:pPr>
            <w:r>
              <w:rPr>
                <w:sz w:val="16"/>
              </w:rPr>
              <w:t>0.9890</w:t>
            </w:r>
          </w:p>
        </w:tc>
        <w:tc>
          <w:tcPr>
            <w:tcW w:type="dxa" w:w="520"/>
          </w:tcPr>
          <w:p>
            <w:pPr>
              <w:jc w:val="center"/>
            </w:pPr>
            <w:r>
              <w:rPr>
                <w:sz w:val="16"/>
              </w:rPr>
              <w:t>0.9943</w:t>
            </w:r>
          </w:p>
        </w:tc>
        <w:tc>
          <w:tcPr>
            <w:tcW w:type="dxa" w:w="520"/>
          </w:tcPr>
          <w:p>
            <w:pPr>
              <w:jc w:val="center"/>
            </w:pPr>
            <w:r>
              <w:rPr>
                <w:sz w:val="16"/>
              </w:rPr>
              <w:t>+0.0053</w:t>
            </w:r>
          </w:p>
        </w:tc>
        <w:tc>
          <w:tcPr>
            <w:tcW w:type="dxa" w:w="520"/>
          </w:tcPr>
          <w:p>
            <w:pPr>
              <w:jc w:val="center"/>
            </w:pPr>
            <w:r>
              <w:rPr>
                <w:sz w:val="16"/>
              </w:rPr>
              <w:t>0.9934</w:t>
            </w:r>
          </w:p>
        </w:tc>
        <w:tc>
          <w:tcPr>
            <w:tcW w:type="dxa" w:w="520"/>
          </w:tcPr>
          <w:p>
            <w:pPr>
              <w:jc w:val="center"/>
            </w:pPr>
            <w:r>
              <w:rPr>
                <w:sz w:val="16"/>
              </w:rPr>
              <w:t>0.9967</w:t>
            </w:r>
          </w:p>
        </w:tc>
        <w:tc>
          <w:tcPr>
            <w:tcW w:type="dxa" w:w="520"/>
          </w:tcPr>
          <w:p>
            <w:pPr>
              <w:jc w:val="center"/>
            </w:pPr>
            <w:r>
              <w:rPr>
                <w:sz w:val="16"/>
              </w:rPr>
              <w:t>+0.0034</w:t>
            </w:r>
          </w:p>
        </w:tc>
        <w:tc>
          <w:tcPr>
            <w:tcW w:type="dxa" w:w="520"/>
          </w:tcPr>
          <w:p>
            <w:pPr>
              <w:jc w:val="center"/>
            </w:pPr>
            <w:r>
              <w:rPr>
                <w:sz w:val="16"/>
              </w:rPr>
              <w:t>0.1915</w:t>
            </w:r>
          </w:p>
        </w:tc>
        <w:tc>
          <w:tcPr>
            <w:tcW w:type="dxa" w:w="520"/>
          </w:tcPr>
          <w:p>
            <w:pPr>
              <w:jc w:val="center"/>
            </w:pPr>
            <w:r>
              <w:rPr>
                <w:sz w:val="16"/>
              </w:rPr>
              <w:t>0.0501</w:t>
            </w:r>
          </w:p>
        </w:tc>
        <w:tc>
          <w:tcPr>
            <w:tcW w:type="dxa" w:w="520"/>
          </w:tcPr>
          <w:p>
            <w:pPr>
              <w:jc w:val="center"/>
            </w:pPr>
            <w:r>
              <w:rPr>
                <w:sz w:val="16"/>
              </w:rPr>
              <w:t>0.0118</w:t>
            </w:r>
          </w:p>
        </w:tc>
        <w:tc>
          <w:tcPr>
            <w:tcW w:type="dxa" w:w="520"/>
          </w:tcPr>
          <w:p>
            <w:pPr>
              <w:jc w:val="center"/>
            </w:pPr>
            <w:r>
              <w:rPr>
                <w:sz w:val="16"/>
              </w:rPr>
              <w:t>0.0265</w:t>
            </w:r>
          </w:p>
        </w:tc>
        <w:tc>
          <w:tcPr>
            <w:tcW w:type="dxa" w:w="520"/>
          </w:tcPr>
          <w:p>
            <w:pPr>
              <w:jc w:val="center"/>
            </w:pPr>
            <w:r>
              <w:rPr>
                <w:sz w:val="16"/>
              </w:rPr>
              <w:t>0.1016</w:t>
            </w:r>
          </w:p>
        </w:tc>
        <w:tc>
          <w:tcPr>
            <w:tcW w:type="dxa" w:w="520"/>
          </w:tcPr>
          <w:p>
            <w:pPr>
              <w:jc w:val="center"/>
            </w:pPr>
            <w:r>
              <w:rPr>
                <w:sz w:val="16"/>
              </w:rPr>
              <w:t>0.0383</w:t>
            </w:r>
          </w:p>
        </w:tc>
        <w:tc>
          <w:tcPr>
            <w:tcW w:type="dxa" w:w="520"/>
          </w:tcPr>
          <w:p>
            <w:pPr>
              <w:jc w:val="center"/>
            </w:pPr>
            <w:r>
              <w:rPr>
                <w:sz w:val="16"/>
              </w:rPr>
              <w:t>-0.0633</w:t>
            </w:r>
          </w:p>
        </w:tc>
      </w:tr>
      <w:tr>
        <w:tc>
          <w:tcPr>
            <w:tcW w:type="dxa" w:w="520"/>
          </w:tcPr>
          <w:p>
            <w:pPr>
              <w:jc w:val="left"/>
            </w:pPr>
            <w:r>
              <w:rPr>
                <w:sz w:val="16"/>
              </w:rPr>
              <w:t>jpeg</w:t>
            </w:r>
          </w:p>
        </w:tc>
        <w:tc>
          <w:tcPr>
            <w:tcW w:type="dxa" w:w="520"/>
          </w:tcPr>
          <w:p>
            <w:pPr>
              <w:jc w:val="center"/>
            </w:pPr>
            <w:r>
              <w:rPr>
                <w:sz w:val="16"/>
              </w:rPr>
              <w:t>50</w:t>
            </w:r>
          </w:p>
        </w:tc>
        <w:tc>
          <w:tcPr>
            <w:tcW w:type="dxa" w:w="520"/>
          </w:tcPr>
          <w:p>
            <w:pPr>
              <w:jc w:val="center"/>
            </w:pPr>
            <w:r>
              <w:rPr>
                <w:sz w:val="16"/>
              </w:rPr>
              <w:t>0.9507</w:t>
            </w:r>
          </w:p>
        </w:tc>
        <w:tc>
          <w:tcPr>
            <w:tcW w:type="dxa" w:w="520"/>
          </w:tcPr>
          <w:p>
            <w:pPr>
              <w:jc w:val="center"/>
            </w:pPr>
            <w:r>
              <w:rPr>
                <w:sz w:val="16"/>
              </w:rPr>
              <w:t>0.9753</w:t>
            </w:r>
          </w:p>
        </w:tc>
        <w:tc>
          <w:tcPr>
            <w:tcW w:type="dxa" w:w="520"/>
          </w:tcPr>
          <w:p>
            <w:pPr>
              <w:jc w:val="center"/>
            </w:pPr>
            <w:r>
              <w:rPr>
                <w:sz w:val="16"/>
              </w:rPr>
              <w:t>+0.0246</w:t>
            </w:r>
          </w:p>
        </w:tc>
        <w:tc>
          <w:tcPr>
            <w:tcW w:type="dxa" w:w="520"/>
          </w:tcPr>
          <w:p>
            <w:pPr>
              <w:jc w:val="center"/>
            </w:pPr>
            <w:r>
              <w:rPr>
                <w:sz w:val="16"/>
              </w:rPr>
              <w:t>0.9932</w:t>
            </w:r>
          </w:p>
        </w:tc>
        <w:tc>
          <w:tcPr>
            <w:tcW w:type="dxa" w:w="520"/>
          </w:tcPr>
          <w:p>
            <w:pPr>
              <w:jc w:val="center"/>
            </w:pPr>
            <w:r>
              <w:rPr>
                <w:sz w:val="16"/>
              </w:rPr>
              <w:t>0.9955</w:t>
            </w:r>
          </w:p>
        </w:tc>
        <w:tc>
          <w:tcPr>
            <w:tcW w:type="dxa" w:w="520"/>
          </w:tcPr>
          <w:p>
            <w:pPr>
              <w:jc w:val="center"/>
            </w:pPr>
            <w:r>
              <w:rPr>
                <w:sz w:val="16"/>
              </w:rPr>
              <w:t>+0.0023</w:t>
            </w:r>
          </w:p>
        </w:tc>
        <w:tc>
          <w:tcPr>
            <w:tcW w:type="dxa" w:w="520"/>
          </w:tcPr>
          <w:p>
            <w:pPr>
              <w:jc w:val="center"/>
            </w:pPr>
            <w:r>
              <w:rPr>
                <w:sz w:val="16"/>
              </w:rPr>
              <w:t>0.9959</w:t>
            </w:r>
          </w:p>
        </w:tc>
        <w:tc>
          <w:tcPr>
            <w:tcW w:type="dxa" w:w="520"/>
          </w:tcPr>
          <w:p>
            <w:pPr>
              <w:jc w:val="center"/>
            </w:pPr>
            <w:r>
              <w:rPr>
                <w:sz w:val="16"/>
              </w:rPr>
              <w:t>0.9974</w:t>
            </w:r>
          </w:p>
        </w:tc>
        <w:tc>
          <w:tcPr>
            <w:tcW w:type="dxa" w:w="520"/>
          </w:tcPr>
          <w:p>
            <w:pPr>
              <w:jc w:val="center"/>
            </w:pPr>
            <w:r>
              <w:rPr>
                <w:sz w:val="16"/>
              </w:rPr>
              <w:t>+0.0015</w:t>
            </w:r>
          </w:p>
        </w:tc>
        <w:tc>
          <w:tcPr>
            <w:tcW w:type="dxa" w:w="520"/>
          </w:tcPr>
          <w:p>
            <w:pPr>
              <w:jc w:val="center"/>
            </w:pPr>
            <w:r>
              <w:rPr>
                <w:sz w:val="16"/>
              </w:rPr>
              <w:t>0.0853</w:t>
            </w:r>
          </w:p>
        </w:tc>
        <w:tc>
          <w:tcPr>
            <w:tcW w:type="dxa" w:w="520"/>
          </w:tcPr>
          <w:p>
            <w:pPr>
              <w:jc w:val="center"/>
            </w:pPr>
            <w:r>
              <w:rPr>
                <w:sz w:val="16"/>
              </w:rPr>
              <w:t>0.0332</w:t>
            </w:r>
          </w:p>
        </w:tc>
        <w:tc>
          <w:tcPr>
            <w:tcW w:type="dxa" w:w="520"/>
          </w:tcPr>
          <w:p>
            <w:pPr>
              <w:jc w:val="center"/>
            </w:pPr>
            <w:r>
              <w:rPr>
                <w:sz w:val="16"/>
              </w:rPr>
              <w:t>0.0184</w:t>
            </w:r>
          </w:p>
        </w:tc>
        <w:tc>
          <w:tcPr>
            <w:tcW w:type="dxa" w:w="520"/>
          </w:tcPr>
          <w:p>
            <w:pPr>
              <w:jc w:val="center"/>
            </w:pPr>
            <w:r>
              <w:rPr>
                <w:sz w:val="16"/>
              </w:rPr>
              <w:t>0.0300</w:t>
            </w:r>
          </w:p>
        </w:tc>
        <w:tc>
          <w:tcPr>
            <w:tcW w:type="dxa" w:w="520"/>
          </w:tcPr>
          <w:p>
            <w:pPr>
              <w:jc w:val="center"/>
            </w:pPr>
            <w:r>
              <w:rPr>
                <w:sz w:val="16"/>
              </w:rPr>
              <w:t>0.0518</w:t>
            </w:r>
          </w:p>
        </w:tc>
        <w:tc>
          <w:tcPr>
            <w:tcW w:type="dxa" w:w="520"/>
          </w:tcPr>
          <w:p>
            <w:pPr>
              <w:jc w:val="center"/>
            </w:pPr>
            <w:r>
              <w:rPr>
                <w:sz w:val="16"/>
              </w:rPr>
              <w:t>0.0316</w:t>
            </w:r>
          </w:p>
        </w:tc>
        <w:tc>
          <w:tcPr>
            <w:tcW w:type="dxa" w:w="520"/>
          </w:tcPr>
          <w:p>
            <w:pPr>
              <w:jc w:val="center"/>
            </w:pPr>
            <w:r>
              <w:rPr>
                <w:sz w:val="16"/>
              </w:rPr>
              <w:t>-0.0202</w:t>
            </w:r>
          </w:p>
        </w:tc>
      </w:tr>
      <w:tr>
        <w:tc>
          <w:tcPr>
            <w:tcW w:type="dxa" w:w="520"/>
          </w:tcPr>
          <w:p>
            <w:pPr>
              <w:jc w:val="left"/>
            </w:pPr>
            <w:r>
              <w:rPr>
                <w:sz w:val="16"/>
              </w:rPr>
              <w:t>jpeg</w:t>
            </w:r>
          </w:p>
        </w:tc>
        <w:tc>
          <w:tcPr>
            <w:tcW w:type="dxa" w:w="520"/>
          </w:tcPr>
          <w:p>
            <w:pPr>
              <w:jc w:val="center"/>
            </w:pPr>
            <w:r>
              <w:rPr>
                <w:sz w:val="16"/>
              </w:rPr>
              <w:t>70</w:t>
            </w:r>
          </w:p>
        </w:tc>
        <w:tc>
          <w:tcPr>
            <w:tcW w:type="dxa" w:w="520"/>
          </w:tcPr>
          <w:p>
            <w:pPr>
              <w:jc w:val="center"/>
            </w:pPr>
            <w:r>
              <w:rPr>
                <w:sz w:val="16"/>
              </w:rPr>
              <w:t>0.9747</w:t>
            </w:r>
          </w:p>
        </w:tc>
        <w:tc>
          <w:tcPr>
            <w:tcW w:type="dxa" w:w="520"/>
          </w:tcPr>
          <w:p>
            <w:pPr>
              <w:jc w:val="center"/>
            </w:pPr>
            <w:r>
              <w:rPr>
                <w:sz w:val="16"/>
              </w:rPr>
              <w:t>0.9795</w:t>
            </w:r>
          </w:p>
        </w:tc>
        <w:tc>
          <w:tcPr>
            <w:tcW w:type="dxa" w:w="520"/>
          </w:tcPr>
          <w:p>
            <w:pPr>
              <w:jc w:val="center"/>
            </w:pPr>
            <w:r>
              <w:rPr>
                <w:sz w:val="16"/>
              </w:rPr>
              <w:t>+0.0049</w:t>
            </w:r>
          </w:p>
        </w:tc>
        <w:tc>
          <w:tcPr>
            <w:tcW w:type="dxa" w:w="520"/>
          </w:tcPr>
          <w:p>
            <w:pPr>
              <w:jc w:val="center"/>
            </w:pPr>
            <w:r>
              <w:rPr>
                <w:sz w:val="16"/>
              </w:rPr>
              <w:t>0.9957</w:t>
            </w:r>
          </w:p>
        </w:tc>
        <w:tc>
          <w:tcPr>
            <w:tcW w:type="dxa" w:w="520"/>
          </w:tcPr>
          <w:p>
            <w:pPr>
              <w:jc w:val="center"/>
            </w:pPr>
            <w:r>
              <w:rPr>
                <w:sz w:val="16"/>
              </w:rPr>
              <w:t>0.9962</w:t>
            </w:r>
          </w:p>
        </w:tc>
        <w:tc>
          <w:tcPr>
            <w:tcW w:type="dxa" w:w="520"/>
          </w:tcPr>
          <w:p>
            <w:pPr>
              <w:jc w:val="center"/>
            </w:pPr>
            <w:r>
              <w:rPr>
                <w:sz w:val="16"/>
              </w:rPr>
              <w:t>+0.0006</w:t>
            </w:r>
          </w:p>
        </w:tc>
        <w:tc>
          <w:tcPr>
            <w:tcW w:type="dxa" w:w="520"/>
          </w:tcPr>
          <w:p>
            <w:pPr>
              <w:jc w:val="center"/>
            </w:pPr>
            <w:r>
              <w:rPr>
                <w:sz w:val="16"/>
              </w:rPr>
              <w:t>0.9974</w:t>
            </w:r>
          </w:p>
        </w:tc>
        <w:tc>
          <w:tcPr>
            <w:tcW w:type="dxa" w:w="520"/>
          </w:tcPr>
          <w:p>
            <w:pPr>
              <w:jc w:val="center"/>
            </w:pPr>
            <w:r>
              <w:rPr>
                <w:sz w:val="16"/>
              </w:rPr>
              <w:t>0.9978</w:t>
            </w:r>
          </w:p>
        </w:tc>
        <w:tc>
          <w:tcPr>
            <w:tcW w:type="dxa" w:w="520"/>
          </w:tcPr>
          <w:p>
            <w:pPr>
              <w:jc w:val="center"/>
            </w:pPr>
            <w:r>
              <w:rPr>
                <w:sz w:val="16"/>
              </w:rPr>
              <w:t>+0.0004</w:t>
            </w:r>
          </w:p>
        </w:tc>
        <w:tc>
          <w:tcPr>
            <w:tcW w:type="dxa" w:w="520"/>
          </w:tcPr>
          <w:p>
            <w:pPr>
              <w:jc w:val="center"/>
            </w:pPr>
            <w:r>
              <w:rPr>
                <w:sz w:val="16"/>
              </w:rPr>
              <w:t>0.0379</w:t>
            </w:r>
          </w:p>
        </w:tc>
        <w:tc>
          <w:tcPr>
            <w:tcW w:type="dxa" w:w="520"/>
          </w:tcPr>
          <w:p>
            <w:pPr>
              <w:jc w:val="center"/>
            </w:pPr>
            <w:r>
              <w:rPr>
                <w:sz w:val="16"/>
              </w:rPr>
              <w:t>0.0234</w:t>
            </w:r>
          </w:p>
        </w:tc>
        <w:tc>
          <w:tcPr>
            <w:tcW w:type="dxa" w:w="520"/>
          </w:tcPr>
          <w:p>
            <w:pPr>
              <w:jc w:val="center"/>
            </w:pPr>
            <w:r>
              <w:rPr>
                <w:sz w:val="16"/>
              </w:rPr>
              <w:t>0.0230</w:t>
            </w:r>
          </w:p>
        </w:tc>
        <w:tc>
          <w:tcPr>
            <w:tcW w:type="dxa" w:w="520"/>
          </w:tcPr>
          <w:p>
            <w:pPr>
              <w:jc w:val="center"/>
            </w:pPr>
            <w:r>
              <w:rPr>
                <w:sz w:val="16"/>
              </w:rPr>
              <w:t>0.0331</w:t>
            </w:r>
          </w:p>
        </w:tc>
        <w:tc>
          <w:tcPr>
            <w:tcW w:type="dxa" w:w="520"/>
          </w:tcPr>
          <w:p>
            <w:pPr>
              <w:jc w:val="center"/>
            </w:pPr>
            <w:r>
              <w:rPr>
                <w:sz w:val="16"/>
              </w:rPr>
              <w:t>0.0304</w:t>
            </w:r>
          </w:p>
        </w:tc>
        <w:tc>
          <w:tcPr>
            <w:tcW w:type="dxa" w:w="520"/>
          </w:tcPr>
          <w:p>
            <w:pPr>
              <w:jc w:val="center"/>
            </w:pPr>
            <w:r>
              <w:rPr>
                <w:sz w:val="16"/>
              </w:rPr>
              <w:t>0.0282</w:t>
            </w:r>
          </w:p>
        </w:tc>
        <w:tc>
          <w:tcPr>
            <w:tcW w:type="dxa" w:w="520"/>
          </w:tcPr>
          <w:p>
            <w:pPr>
              <w:jc w:val="center"/>
            </w:pPr>
            <w:r>
              <w:rPr>
                <w:sz w:val="16"/>
              </w:rPr>
              <w:t>-0.0022</w:t>
            </w:r>
          </w:p>
        </w:tc>
      </w:tr>
      <w:tr>
        <w:tc>
          <w:tcPr>
            <w:tcW w:type="dxa" w:w="520"/>
          </w:tcPr>
          <w:p>
            <w:pPr>
              <w:jc w:val="left"/>
            </w:pPr>
            <w:r>
              <w:rPr>
                <w:sz w:val="16"/>
              </w:rPr>
              <w:t>jpeg</w:t>
            </w:r>
          </w:p>
        </w:tc>
        <w:tc>
          <w:tcPr>
            <w:tcW w:type="dxa" w:w="520"/>
          </w:tcPr>
          <w:p>
            <w:pPr>
              <w:jc w:val="center"/>
            </w:pPr>
            <w:r>
              <w:rPr>
                <w:sz w:val="16"/>
              </w:rPr>
              <w:t>90</w:t>
            </w:r>
          </w:p>
        </w:tc>
        <w:tc>
          <w:tcPr>
            <w:tcW w:type="dxa" w:w="520"/>
          </w:tcPr>
          <w:p>
            <w:pPr>
              <w:jc w:val="center"/>
            </w:pPr>
            <w:r>
              <w:rPr>
                <w:sz w:val="16"/>
              </w:rPr>
              <w:t>0.9866</w:t>
            </w:r>
          </w:p>
        </w:tc>
        <w:tc>
          <w:tcPr>
            <w:tcW w:type="dxa" w:w="520"/>
          </w:tcPr>
          <w:p>
            <w:pPr>
              <w:jc w:val="center"/>
            </w:pPr>
            <w:r>
              <w:rPr>
                <w:sz w:val="16"/>
              </w:rPr>
              <w:t>0.9830</w:t>
            </w:r>
          </w:p>
        </w:tc>
        <w:tc>
          <w:tcPr>
            <w:tcW w:type="dxa" w:w="520"/>
          </w:tcPr>
          <w:p>
            <w:pPr>
              <w:jc w:val="center"/>
            </w:pPr>
            <w:r>
              <w:rPr>
                <w:sz w:val="16"/>
              </w:rPr>
              <w:t>-0.0036</w:t>
            </w:r>
          </w:p>
        </w:tc>
        <w:tc>
          <w:tcPr>
            <w:tcW w:type="dxa" w:w="520"/>
          </w:tcPr>
          <w:p>
            <w:pPr>
              <w:jc w:val="center"/>
            </w:pPr>
            <w:r>
              <w:rPr>
                <w:sz w:val="16"/>
              </w:rPr>
              <w:t>0.9977</w:t>
            </w:r>
          </w:p>
        </w:tc>
        <w:tc>
          <w:tcPr>
            <w:tcW w:type="dxa" w:w="520"/>
          </w:tcPr>
          <w:p>
            <w:pPr>
              <w:jc w:val="center"/>
            </w:pPr>
            <w:r>
              <w:rPr>
                <w:sz w:val="16"/>
              </w:rPr>
              <w:t>0.9969</w:t>
            </w:r>
          </w:p>
        </w:tc>
        <w:tc>
          <w:tcPr>
            <w:tcW w:type="dxa" w:w="520"/>
          </w:tcPr>
          <w:p>
            <w:pPr>
              <w:jc w:val="center"/>
            </w:pPr>
            <w:r>
              <w:rPr>
                <w:sz w:val="16"/>
              </w:rPr>
              <w:t>-0.0008</w:t>
            </w:r>
          </w:p>
        </w:tc>
        <w:tc>
          <w:tcPr>
            <w:tcW w:type="dxa" w:w="520"/>
          </w:tcPr>
          <w:p>
            <w:pPr>
              <w:jc w:val="center"/>
            </w:pPr>
            <w:r>
              <w:rPr>
                <w:sz w:val="16"/>
              </w:rPr>
              <w:t>0.9987</w:t>
            </w:r>
          </w:p>
        </w:tc>
        <w:tc>
          <w:tcPr>
            <w:tcW w:type="dxa" w:w="520"/>
          </w:tcPr>
          <w:p>
            <w:pPr>
              <w:jc w:val="center"/>
            </w:pPr>
            <w:r>
              <w:rPr>
                <w:sz w:val="16"/>
              </w:rPr>
              <w:t>0.9982</w:t>
            </w:r>
          </w:p>
        </w:tc>
        <w:tc>
          <w:tcPr>
            <w:tcW w:type="dxa" w:w="520"/>
          </w:tcPr>
          <w:p>
            <w:pPr>
              <w:jc w:val="center"/>
            </w:pPr>
            <w:r>
              <w:rPr>
                <w:sz w:val="16"/>
              </w:rPr>
              <w:t>-0.0004</w:t>
            </w:r>
          </w:p>
        </w:tc>
        <w:tc>
          <w:tcPr>
            <w:tcW w:type="dxa" w:w="520"/>
          </w:tcPr>
          <w:p>
            <w:pPr>
              <w:jc w:val="center"/>
            </w:pPr>
            <w:r>
              <w:rPr>
                <w:sz w:val="16"/>
              </w:rPr>
              <w:t>0.0095</w:t>
            </w:r>
          </w:p>
        </w:tc>
        <w:tc>
          <w:tcPr>
            <w:tcW w:type="dxa" w:w="520"/>
          </w:tcPr>
          <w:p>
            <w:pPr>
              <w:jc w:val="center"/>
            </w:pPr>
            <w:r>
              <w:rPr>
                <w:sz w:val="16"/>
              </w:rPr>
              <w:t>0.0151</w:t>
            </w:r>
          </w:p>
        </w:tc>
        <w:tc>
          <w:tcPr>
            <w:tcW w:type="dxa" w:w="520"/>
          </w:tcPr>
          <w:p>
            <w:pPr>
              <w:jc w:val="center"/>
            </w:pPr>
            <w:r>
              <w:rPr>
                <w:sz w:val="16"/>
              </w:rPr>
              <w:t>0.0332</w:t>
            </w:r>
          </w:p>
        </w:tc>
        <w:tc>
          <w:tcPr>
            <w:tcW w:type="dxa" w:w="520"/>
          </w:tcPr>
          <w:p>
            <w:pPr>
              <w:jc w:val="center"/>
            </w:pPr>
            <w:r>
              <w:rPr>
                <w:sz w:val="16"/>
              </w:rPr>
              <w:t>0.0362</w:t>
            </w:r>
          </w:p>
        </w:tc>
        <w:tc>
          <w:tcPr>
            <w:tcW w:type="dxa" w:w="520"/>
          </w:tcPr>
          <w:p>
            <w:pPr>
              <w:jc w:val="center"/>
            </w:pPr>
            <w:r>
              <w:rPr>
                <w:sz w:val="16"/>
              </w:rPr>
              <w:t>0.0213</w:t>
            </w:r>
          </w:p>
        </w:tc>
        <w:tc>
          <w:tcPr>
            <w:tcW w:type="dxa" w:w="520"/>
          </w:tcPr>
          <w:p>
            <w:pPr>
              <w:jc w:val="center"/>
            </w:pPr>
            <w:r>
              <w:rPr>
                <w:sz w:val="16"/>
              </w:rPr>
              <w:t>0.0256</w:t>
            </w:r>
          </w:p>
        </w:tc>
        <w:tc>
          <w:tcPr>
            <w:tcW w:type="dxa" w:w="520"/>
          </w:tcPr>
          <w:p>
            <w:pPr>
              <w:jc w:val="center"/>
            </w:pPr>
            <w:r>
              <w:rPr>
                <w:sz w:val="16"/>
              </w:rPr>
              <w:t>+0.0043</w:t>
            </w:r>
          </w:p>
        </w:tc>
      </w:tr>
      <w:tr>
        <w:tc>
          <w:tcPr>
            <w:tcW w:type="dxa" w:w="520"/>
          </w:tcPr>
          <w:p>
            <w:pPr>
              <w:jc w:val="left"/>
            </w:pPr>
            <w:r>
              <w:rPr>
                <w:sz w:val="16"/>
              </w:rPr>
              <w:t>noise</w:t>
            </w:r>
          </w:p>
        </w:tc>
        <w:tc>
          <w:tcPr>
            <w:tcW w:type="dxa" w:w="520"/>
          </w:tcPr>
          <w:p>
            <w:pPr>
              <w:jc w:val="center"/>
            </w:pPr>
            <w:r>
              <w:rPr>
                <w:sz w:val="16"/>
              </w:rPr>
              <w:t>high</w:t>
            </w:r>
          </w:p>
        </w:tc>
        <w:tc>
          <w:tcPr>
            <w:tcW w:type="dxa" w:w="520"/>
          </w:tcPr>
          <w:p>
            <w:pPr>
              <w:jc w:val="center"/>
            </w:pPr>
            <w:r>
              <w:rPr>
                <w:sz w:val="16"/>
              </w:rPr>
              <w:t>0.8487</w:t>
            </w:r>
          </w:p>
        </w:tc>
        <w:tc>
          <w:tcPr>
            <w:tcW w:type="dxa" w:w="520"/>
          </w:tcPr>
          <w:p>
            <w:pPr>
              <w:jc w:val="center"/>
            </w:pPr>
            <w:r>
              <w:rPr>
                <w:sz w:val="16"/>
              </w:rPr>
              <w:t>0.9781</w:t>
            </w:r>
          </w:p>
        </w:tc>
        <w:tc>
          <w:tcPr>
            <w:tcW w:type="dxa" w:w="520"/>
          </w:tcPr>
          <w:p>
            <w:pPr>
              <w:jc w:val="center"/>
            </w:pPr>
            <w:r>
              <w:rPr>
                <w:sz w:val="16"/>
              </w:rPr>
              <w:t>+0.1294</w:t>
            </w:r>
          </w:p>
        </w:tc>
        <w:tc>
          <w:tcPr>
            <w:tcW w:type="dxa" w:w="520"/>
          </w:tcPr>
          <w:p>
            <w:pPr>
              <w:jc w:val="center"/>
            </w:pPr>
            <w:r>
              <w:rPr>
                <w:sz w:val="16"/>
              </w:rPr>
              <w:t>0.9638</w:t>
            </w:r>
          </w:p>
        </w:tc>
        <w:tc>
          <w:tcPr>
            <w:tcW w:type="dxa" w:w="520"/>
          </w:tcPr>
          <w:p>
            <w:pPr>
              <w:jc w:val="center"/>
            </w:pPr>
            <w:r>
              <w:rPr>
                <w:sz w:val="16"/>
              </w:rPr>
              <w:t>0.9957</w:t>
            </w:r>
          </w:p>
        </w:tc>
        <w:tc>
          <w:tcPr>
            <w:tcW w:type="dxa" w:w="520"/>
          </w:tcPr>
          <w:p>
            <w:pPr>
              <w:jc w:val="center"/>
            </w:pPr>
            <w:r>
              <w:rPr>
                <w:sz w:val="16"/>
              </w:rPr>
              <w:t>+0.0319</w:t>
            </w:r>
          </w:p>
        </w:tc>
        <w:tc>
          <w:tcPr>
            <w:tcW w:type="dxa" w:w="520"/>
          </w:tcPr>
          <w:p>
            <w:pPr>
              <w:jc w:val="center"/>
            </w:pPr>
            <w:r>
              <w:rPr>
                <w:sz w:val="16"/>
              </w:rPr>
              <w:t>0.9799</w:t>
            </w:r>
          </w:p>
        </w:tc>
        <w:tc>
          <w:tcPr>
            <w:tcW w:type="dxa" w:w="520"/>
          </w:tcPr>
          <w:p>
            <w:pPr>
              <w:jc w:val="center"/>
            </w:pPr>
            <w:r>
              <w:rPr>
                <w:sz w:val="16"/>
              </w:rPr>
              <w:t>0.9976</w:t>
            </w:r>
          </w:p>
        </w:tc>
        <w:tc>
          <w:tcPr>
            <w:tcW w:type="dxa" w:w="520"/>
          </w:tcPr>
          <w:p>
            <w:pPr>
              <w:jc w:val="center"/>
            </w:pPr>
            <w:r>
              <w:rPr>
                <w:sz w:val="16"/>
              </w:rPr>
              <w:t>+0.0177</w:t>
            </w:r>
          </w:p>
        </w:tc>
        <w:tc>
          <w:tcPr>
            <w:tcW w:type="dxa" w:w="520"/>
          </w:tcPr>
          <w:p>
            <w:pPr>
              <w:jc w:val="center"/>
            </w:pPr>
            <w:r>
              <w:rPr>
                <w:sz w:val="16"/>
              </w:rPr>
              <w:t>0.2532</w:t>
            </w:r>
          </w:p>
        </w:tc>
        <w:tc>
          <w:tcPr>
            <w:tcW w:type="dxa" w:w="520"/>
          </w:tcPr>
          <w:p>
            <w:pPr>
              <w:jc w:val="center"/>
            </w:pPr>
            <w:r>
              <w:rPr>
                <w:sz w:val="16"/>
              </w:rPr>
              <w:t>0.0251</w:t>
            </w:r>
          </w:p>
        </w:tc>
        <w:tc>
          <w:tcPr>
            <w:tcW w:type="dxa" w:w="520"/>
          </w:tcPr>
          <w:p>
            <w:pPr>
              <w:jc w:val="center"/>
            </w:pPr>
            <w:r>
              <w:rPr>
                <w:sz w:val="16"/>
              </w:rPr>
              <w:t>0.0248</w:t>
            </w:r>
          </w:p>
        </w:tc>
        <w:tc>
          <w:tcPr>
            <w:tcW w:type="dxa" w:w="520"/>
          </w:tcPr>
          <w:p>
            <w:pPr>
              <w:jc w:val="center"/>
            </w:pPr>
            <w:r>
              <w:rPr>
                <w:sz w:val="16"/>
              </w:rPr>
              <w:t>0.0352</w:t>
            </w:r>
          </w:p>
        </w:tc>
        <w:tc>
          <w:tcPr>
            <w:tcW w:type="dxa" w:w="520"/>
          </w:tcPr>
          <w:p>
            <w:pPr>
              <w:jc w:val="center"/>
            </w:pPr>
            <w:r>
              <w:rPr>
                <w:sz w:val="16"/>
              </w:rPr>
              <w:t>0.1390</w:t>
            </w:r>
          </w:p>
        </w:tc>
        <w:tc>
          <w:tcPr>
            <w:tcW w:type="dxa" w:w="520"/>
          </w:tcPr>
          <w:p>
            <w:pPr>
              <w:jc w:val="center"/>
            </w:pPr>
            <w:r>
              <w:rPr>
                <w:sz w:val="16"/>
              </w:rPr>
              <w:t>0.0302</w:t>
            </w:r>
          </w:p>
        </w:tc>
        <w:tc>
          <w:tcPr>
            <w:tcW w:type="dxa" w:w="520"/>
          </w:tcPr>
          <w:p>
            <w:pPr>
              <w:jc w:val="center"/>
            </w:pPr>
            <w:r>
              <w:rPr>
                <w:sz w:val="16"/>
              </w:rPr>
              <w:t>-0.1089</w:t>
            </w:r>
          </w:p>
        </w:tc>
      </w:tr>
      <w:tr>
        <w:tc>
          <w:tcPr>
            <w:tcW w:type="dxa" w:w="520"/>
          </w:tcPr>
          <w:p>
            <w:pPr>
              <w:jc w:val="left"/>
            </w:pPr>
            <w:r>
              <w:rPr>
                <w:sz w:val="16"/>
              </w:rPr>
              <w:t>noise</w:t>
            </w:r>
          </w:p>
        </w:tc>
        <w:tc>
          <w:tcPr>
            <w:tcW w:type="dxa" w:w="520"/>
          </w:tcPr>
          <w:p>
            <w:pPr>
              <w:jc w:val="center"/>
            </w:pPr>
            <w:r>
              <w:rPr>
                <w:sz w:val="16"/>
              </w:rPr>
              <w:t>low</w:t>
            </w:r>
          </w:p>
        </w:tc>
        <w:tc>
          <w:tcPr>
            <w:tcW w:type="dxa" w:w="520"/>
          </w:tcPr>
          <w:p>
            <w:pPr>
              <w:jc w:val="center"/>
            </w:pPr>
            <w:r>
              <w:rPr>
                <w:sz w:val="16"/>
              </w:rPr>
              <w:t>0.9849</w:t>
            </w:r>
          </w:p>
        </w:tc>
        <w:tc>
          <w:tcPr>
            <w:tcW w:type="dxa" w:w="520"/>
          </w:tcPr>
          <w:p>
            <w:pPr>
              <w:jc w:val="center"/>
            </w:pPr>
            <w:r>
              <w:rPr>
                <w:sz w:val="16"/>
              </w:rPr>
              <w:t>0.9832</w:t>
            </w:r>
          </w:p>
        </w:tc>
        <w:tc>
          <w:tcPr>
            <w:tcW w:type="dxa" w:w="520"/>
          </w:tcPr>
          <w:p>
            <w:pPr>
              <w:jc w:val="center"/>
            </w:pPr>
            <w:r>
              <w:rPr>
                <w:sz w:val="16"/>
              </w:rPr>
              <w:t>-0.0017</w:t>
            </w:r>
          </w:p>
        </w:tc>
        <w:tc>
          <w:tcPr>
            <w:tcW w:type="dxa" w:w="520"/>
          </w:tcPr>
          <w:p>
            <w:pPr>
              <w:jc w:val="center"/>
            </w:pPr>
            <w:r>
              <w:rPr>
                <w:sz w:val="16"/>
              </w:rPr>
              <w:t>0.9972</w:t>
            </w:r>
          </w:p>
        </w:tc>
        <w:tc>
          <w:tcPr>
            <w:tcW w:type="dxa" w:w="520"/>
          </w:tcPr>
          <w:p>
            <w:pPr>
              <w:jc w:val="center"/>
            </w:pPr>
            <w:r>
              <w:rPr>
                <w:sz w:val="16"/>
              </w:rPr>
              <w:t>0.9969</w:t>
            </w:r>
          </w:p>
        </w:tc>
        <w:tc>
          <w:tcPr>
            <w:tcW w:type="dxa" w:w="520"/>
          </w:tcPr>
          <w:p>
            <w:pPr>
              <w:jc w:val="center"/>
            </w:pPr>
            <w:r>
              <w:rPr>
                <w:sz w:val="16"/>
              </w:rPr>
              <w:t>-0.0003</w:t>
            </w:r>
          </w:p>
        </w:tc>
        <w:tc>
          <w:tcPr>
            <w:tcW w:type="dxa" w:w="520"/>
          </w:tcPr>
          <w:p>
            <w:pPr>
              <w:jc w:val="center"/>
            </w:pPr>
            <w:r>
              <w:rPr>
                <w:sz w:val="16"/>
              </w:rPr>
              <w:t>0.9983</w:t>
            </w:r>
          </w:p>
        </w:tc>
        <w:tc>
          <w:tcPr>
            <w:tcW w:type="dxa" w:w="520"/>
          </w:tcPr>
          <w:p>
            <w:pPr>
              <w:jc w:val="center"/>
            </w:pPr>
            <w:r>
              <w:rPr>
                <w:sz w:val="16"/>
              </w:rPr>
              <w:t>0.9983</w:t>
            </w:r>
          </w:p>
        </w:tc>
        <w:tc>
          <w:tcPr>
            <w:tcW w:type="dxa" w:w="520"/>
          </w:tcPr>
          <w:p>
            <w:pPr>
              <w:jc w:val="center"/>
            </w:pPr>
            <w:r>
              <w:rPr>
                <w:sz w:val="16"/>
              </w:rPr>
              <w:t>-0.0001</w:t>
            </w:r>
          </w:p>
        </w:tc>
        <w:tc>
          <w:tcPr>
            <w:tcW w:type="dxa" w:w="520"/>
          </w:tcPr>
          <w:p>
            <w:pPr>
              <w:jc w:val="center"/>
            </w:pPr>
            <w:r>
              <w:rPr>
                <w:sz w:val="16"/>
              </w:rPr>
              <w:t>0.0146</w:t>
            </w:r>
          </w:p>
        </w:tc>
        <w:tc>
          <w:tcPr>
            <w:tcW w:type="dxa" w:w="520"/>
          </w:tcPr>
          <w:p>
            <w:pPr>
              <w:jc w:val="center"/>
            </w:pPr>
            <w:r>
              <w:rPr>
                <w:sz w:val="16"/>
              </w:rPr>
              <w:t>0.0146</w:t>
            </w:r>
          </w:p>
        </w:tc>
        <w:tc>
          <w:tcPr>
            <w:tcW w:type="dxa" w:w="520"/>
          </w:tcPr>
          <w:p>
            <w:pPr>
              <w:jc w:val="center"/>
            </w:pPr>
            <w:r>
              <w:rPr>
                <w:sz w:val="16"/>
              </w:rPr>
              <w:t>0.0295</w:t>
            </w:r>
          </w:p>
        </w:tc>
        <w:tc>
          <w:tcPr>
            <w:tcW w:type="dxa" w:w="520"/>
          </w:tcPr>
          <w:p>
            <w:pPr>
              <w:jc w:val="center"/>
            </w:pPr>
            <w:r>
              <w:rPr>
                <w:sz w:val="16"/>
              </w:rPr>
              <w:t>0.0363</w:t>
            </w:r>
          </w:p>
        </w:tc>
        <w:tc>
          <w:tcPr>
            <w:tcW w:type="dxa" w:w="520"/>
          </w:tcPr>
          <w:p>
            <w:pPr>
              <w:jc w:val="center"/>
            </w:pPr>
            <w:r>
              <w:rPr>
                <w:sz w:val="16"/>
              </w:rPr>
              <w:t>0.0221</w:t>
            </w:r>
          </w:p>
        </w:tc>
        <w:tc>
          <w:tcPr>
            <w:tcW w:type="dxa" w:w="520"/>
          </w:tcPr>
          <w:p>
            <w:pPr>
              <w:jc w:val="center"/>
            </w:pPr>
            <w:r>
              <w:rPr>
                <w:sz w:val="16"/>
              </w:rPr>
              <w:t>0.0255</w:t>
            </w:r>
          </w:p>
        </w:tc>
        <w:tc>
          <w:tcPr>
            <w:tcW w:type="dxa" w:w="520"/>
          </w:tcPr>
          <w:p>
            <w:pPr>
              <w:jc w:val="center"/>
            </w:pPr>
            <w:r>
              <w:rPr>
                <w:sz w:val="16"/>
              </w:rPr>
              <w:t>+0.0034</w:t>
            </w:r>
          </w:p>
        </w:tc>
      </w:tr>
      <w:tr>
        <w:tc>
          <w:tcPr>
            <w:tcW w:type="dxa" w:w="520"/>
          </w:tcPr>
          <w:p>
            <w:pPr>
              <w:jc w:val="left"/>
            </w:pPr>
            <w:r>
              <w:rPr>
                <w:sz w:val="16"/>
              </w:rPr>
              <w:t>noise</w:t>
            </w:r>
          </w:p>
        </w:tc>
        <w:tc>
          <w:tcPr>
            <w:tcW w:type="dxa" w:w="520"/>
          </w:tcPr>
          <w:p>
            <w:pPr>
              <w:jc w:val="center"/>
            </w:pPr>
            <w:r>
              <w:rPr>
                <w:sz w:val="16"/>
              </w:rPr>
              <w:t>medium</w:t>
            </w:r>
          </w:p>
        </w:tc>
        <w:tc>
          <w:tcPr>
            <w:tcW w:type="dxa" w:w="520"/>
          </w:tcPr>
          <w:p>
            <w:pPr>
              <w:jc w:val="center"/>
            </w:pPr>
            <w:r>
              <w:rPr>
                <w:sz w:val="16"/>
              </w:rPr>
              <w:t>0.9283</w:t>
            </w:r>
          </w:p>
        </w:tc>
        <w:tc>
          <w:tcPr>
            <w:tcW w:type="dxa" w:w="520"/>
          </w:tcPr>
          <w:p>
            <w:pPr>
              <w:jc w:val="center"/>
            </w:pPr>
            <w:r>
              <w:rPr>
                <w:sz w:val="16"/>
              </w:rPr>
              <w:t>0.9828</w:t>
            </w:r>
          </w:p>
        </w:tc>
        <w:tc>
          <w:tcPr>
            <w:tcW w:type="dxa" w:w="520"/>
          </w:tcPr>
          <w:p>
            <w:pPr>
              <w:jc w:val="center"/>
            </w:pPr>
            <w:r>
              <w:rPr>
                <w:sz w:val="16"/>
              </w:rPr>
              <w:t>+0.0545</w:t>
            </w:r>
          </w:p>
        </w:tc>
        <w:tc>
          <w:tcPr>
            <w:tcW w:type="dxa" w:w="520"/>
          </w:tcPr>
          <w:p>
            <w:pPr>
              <w:jc w:val="center"/>
            </w:pPr>
            <w:r>
              <w:rPr>
                <w:sz w:val="16"/>
              </w:rPr>
              <w:t>0.9869</w:t>
            </w:r>
          </w:p>
        </w:tc>
        <w:tc>
          <w:tcPr>
            <w:tcW w:type="dxa" w:w="520"/>
          </w:tcPr>
          <w:p>
            <w:pPr>
              <w:jc w:val="center"/>
            </w:pPr>
            <w:r>
              <w:rPr>
                <w:sz w:val="16"/>
              </w:rPr>
              <w:t>0.9968</w:t>
            </w:r>
          </w:p>
        </w:tc>
        <w:tc>
          <w:tcPr>
            <w:tcW w:type="dxa" w:w="520"/>
          </w:tcPr>
          <w:p>
            <w:pPr>
              <w:jc w:val="center"/>
            </w:pPr>
            <w:r>
              <w:rPr>
                <w:sz w:val="16"/>
              </w:rPr>
              <w:t>+0.0099</w:t>
            </w:r>
          </w:p>
        </w:tc>
        <w:tc>
          <w:tcPr>
            <w:tcW w:type="dxa" w:w="520"/>
          </w:tcPr>
          <w:p>
            <w:pPr>
              <w:jc w:val="center"/>
            </w:pPr>
            <w:r>
              <w:rPr>
                <w:sz w:val="16"/>
              </w:rPr>
              <w:t>0.9925</w:t>
            </w:r>
          </w:p>
        </w:tc>
        <w:tc>
          <w:tcPr>
            <w:tcW w:type="dxa" w:w="520"/>
          </w:tcPr>
          <w:p>
            <w:pPr>
              <w:jc w:val="center"/>
            </w:pPr>
            <w:r>
              <w:rPr>
                <w:sz w:val="16"/>
              </w:rPr>
              <w:t>0.9982</w:t>
            </w:r>
          </w:p>
        </w:tc>
        <w:tc>
          <w:tcPr>
            <w:tcW w:type="dxa" w:w="520"/>
          </w:tcPr>
          <w:p>
            <w:pPr>
              <w:jc w:val="center"/>
            </w:pPr>
            <w:r>
              <w:rPr>
                <w:sz w:val="16"/>
              </w:rPr>
              <w:t>+0.0056</w:t>
            </w:r>
          </w:p>
        </w:tc>
        <w:tc>
          <w:tcPr>
            <w:tcW w:type="dxa" w:w="520"/>
          </w:tcPr>
          <w:p>
            <w:pPr>
              <w:jc w:val="center"/>
            </w:pPr>
            <w:r>
              <w:rPr>
                <w:sz w:val="16"/>
              </w:rPr>
              <w:t>0.1242</w:t>
            </w:r>
          </w:p>
        </w:tc>
        <w:tc>
          <w:tcPr>
            <w:tcW w:type="dxa" w:w="520"/>
          </w:tcPr>
          <w:p>
            <w:pPr>
              <w:jc w:val="center"/>
            </w:pPr>
            <w:r>
              <w:rPr>
                <w:sz w:val="16"/>
              </w:rPr>
              <w:t>0.0157</w:t>
            </w:r>
          </w:p>
        </w:tc>
        <w:tc>
          <w:tcPr>
            <w:tcW w:type="dxa" w:w="520"/>
          </w:tcPr>
          <w:p>
            <w:pPr>
              <w:jc w:val="center"/>
            </w:pPr>
            <w:r>
              <w:rPr>
                <w:sz w:val="16"/>
              </w:rPr>
              <w:t>0.0212</w:t>
            </w:r>
          </w:p>
        </w:tc>
        <w:tc>
          <w:tcPr>
            <w:tcW w:type="dxa" w:w="520"/>
          </w:tcPr>
          <w:p>
            <w:pPr>
              <w:jc w:val="center"/>
            </w:pPr>
            <w:r>
              <w:rPr>
                <w:sz w:val="16"/>
              </w:rPr>
              <w:t>0.0357</w:t>
            </w:r>
          </w:p>
        </w:tc>
        <w:tc>
          <w:tcPr>
            <w:tcW w:type="dxa" w:w="520"/>
          </w:tcPr>
          <w:p>
            <w:pPr>
              <w:jc w:val="center"/>
            </w:pPr>
            <w:r>
              <w:rPr>
                <w:sz w:val="16"/>
              </w:rPr>
              <w:t>0.0727</w:t>
            </w:r>
          </w:p>
        </w:tc>
        <w:tc>
          <w:tcPr>
            <w:tcW w:type="dxa" w:w="520"/>
          </w:tcPr>
          <w:p>
            <w:pPr>
              <w:jc w:val="center"/>
            </w:pPr>
            <w:r>
              <w:rPr>
                <w:sz w:val="16"/>
              </w:rPr>
              <w:t>0.0257</w:t>
            </w:r>
          </w:p>
        </w:tc>
        <w:tc>
          <w:tcPr>
            <w:tcW w:type="dxa" w:w="520"/>
          </w:tcPr>
          <w:p>
            <w:pPr>
              <w:jc w:val="center"/>
            </w:pPr>
            <w:r>
              <w:rPr>
                <w:sz w:val="16"/>
              </w:rPr>
              <w:t>-0.0470</w:t>
            </w:r>
          </w:p>
        </w:tc>
      </w:tr>
      <w:tr>
        <w:tc>
          <w:tcPr>
            <w:tcW w:type="dxa" w:w="520"/>
          </w:tcPr>
          <w:p>
            <w:pPr>
              <w:jc w:val="left"/>
            </w:pPr>
            <w:r>
              <w:rPr>
                <w:sz w:val="16"/>
              </w:rPr>
              <w:t>resize</w:t>
            </w:r>
          </w:p>
        </w:tc>
        <w:tc>
          <w:tcPr>
            <w:tcW w:type="dxa" w:w="520"/>
          </w:tcPr>
          <w:p>
            <w:pPr>
              <w:jc w:val="center"/>
            </w:pPr>
            <w:r>
              <w:rPr>
                <w:sz w:val="16"/>
              </w:rPr>
              <w:t>25</w:t>
            </w:r>
          </w:p>
        </w:tc>
        <w:tc>
          <w:tcPr>
            <w:tcW w:type="dxa" w:w="520"/>
          </w:tcPr>
          <w:p>
            <w:pPr>
              <w:jc w:val="center"/>
            </w:pPr>
            <w:r>
              <w:rPr>
                <w:sz w:val="16"/>
              </w:rPr>
              <w:t>0.8672</w:t>
            </w:r>
          </w:p>
        </w:tc>
        <w:tc>
          <w:tcPr>
            <w:tcW w:type="dxa" w:w="520"/>
          </w:tcPr>
          <w:p>
            <w:pPr>
              <w:jc w:val="center"/>
            </w:pPr>
            <w:r>
              <w:rPr>
                <w:sz w:val="16"/>
              </w:rPr>
              <w:t>0.9704</w:t>
            </w:r>
          </w:p>
        </w:tc>
        <w:tc>
          <w:tcPr>
            <w:tcW w:type="dxa" w:w="520"/>
          </w:tcPr>
          <w:p>
            <w:pPr>
              <w:jc w:val="center"/>
            </w:pPr>
            <w:r>
              <w:rPr>
                <w:sz w:val="16"/>
              </w:rPr>
              <w:t>+0.1032</w:t>
            </w:r>
          </w:p>
        </w:tc>
        <w:tc>
          <w:tcPr>
            <w:tcW w:type="dxa" w:w="520"/>
          </w:tcPr>
          <w:p>
            <w:pPr>
              <w:jc w:val="center"/>
            </w:pPr>
            <w:r>
              <w:rPr>
                <w:sz w:val="16"/>
              </w:rPr>
              <w:t>0.9405</w:t>
            </w:r>
          </w:p>
        </w:tc>
        <w:tc>
          <w:tcPr>
            <w:tcW w:type="dxa" w:w="520"/>
          </w:tcPr>
          <w:p>
            <w:pPr>
              <w:jc w:val="center"/>
            </w:pPr>
            <w:r>
              <w:rPr>
                <w:sz w:val="16"/>
              </w:rPr>
              <w:t>0.9922</w:t>
            </w:r>
          </w:p>
        </w:tc>
        <w:tc>
          <w:tcPr>
            <w:tcW w:type="dxa" w:w="520"/>
          </w:tcPr>
          <w:p>
            <w:pPr>
              <w:jc w:val="center"/>
            </w:pPr>
            <w:r>
              <w:rPr>
                <w:sz w:val="16"/>
              </w:rPr>
              <w:t>+0.0517</w:t>
            </w:r>
          </w:p>
        </w:tc>
        <w:tc>
          <w:tcPr>
            <w:tcW w:type="dxa" w:w="520"/>
          </w:tcPr>
          <w:p>
            <w:pPr>
              <w:jc w:val="center"/>
            </w:pPr>
            <w:r>
              <w:rPr>
                <w:sz w:val="16"/>
              </w:rPr>
              <w:t>0.9664</w:t>
            </w:r>
          </w:p>
        </w:tc>
        <w:tc>
          <w:tcPr>
            <w:tcW w:type="dxa" w:w="520"/>
          </w:tcPr>
          <w:p>
            <w:pPr>
              <w:jc w:val="center"/>
            </w:pPr>
            <w:r>
              <w:rPr>
                <w:sz w:val="16"/>
              </w:rPr>
              <w:t>0.9956</w:t>
            </w:r>
          </w:p>
        </w:tc>
        <w:tc>
          <w:tcPr>
            <w:tcW w:type="dxa" w:w="520"/>
          </w:tcPr>
          <w:p>
            <w:pPr>
              <w:jc w:val="center"/>
            </w:pPr>
            <w:r>
              <w:rPr>
                <w:sz w:val="16"/>
              </w:rPr>
              <w:t>+0.0292</w:t>
            </w:r>
          </w:p>
        </w:tc>
        <w:tc>
          <w:tcPr>
            <w:tcW w:type="dxa" w:w="520"/>
          </w:tcPr>
          <w:p>
            <w:pPr>
              <w:jc w:val="center"/>
            </w:pPr>
            <w:r>
              <w:rPr>
                <w:sz w:val="16"/>
              </w:rPr>
              <w:t>0.0078</w:t>
            </w:r>
          </w:p>
        </w:tc>
        <w:tc>
          <w:tcPr>
            <w:tcW w:type="dxa" w:w="520"/>
          </w:tcPr>
          <w:p>
            <w:pPr>
              <w:jc w:val="center"/>
            </w:pPr>
            <w:r>
              <w:rPr>
                <w:sz w:val="16"/>
              </w:rPr>
              <w:t>0.0178</w:t>
            </w:r>
          </w:p>
        </w:tc>
        <w:tc>
          <w:tcPr>
            <w:tcW w:type="dxa" w:w="520"/>
          </w:tcPr>
          <w:p>
            <w:pPr>
              <w:jc w:val="center"/>
            </w:pPr>
            <w:r>
              <w:rPr>
                <w:sz w:val="16"/>
              </w:rPr>
              <w:t>0.5622</w:t>
            </w:r>
          </w:p>
        </w:tc>
        <w:tc>
          <w:tcPr>
            <w:tcW w:type="dxa" w:w="520"/>
          </w:tcPr>
          <w:p>
            <w:pPr>
              <w:jc w:val="center"/>
            </w:pPr>
            <w:r>
              <w:rPr>
                <w:sz w:val="16"/>
              </w:rPr>
              <w:t>0.0802</w:t>
            </w:r>
          </w:p>
        </w:tc>
        <w:tc>
          <w:tcPr>
            <w:tcW w:type="dxa" w:w="520"/>
          </w:tcPr>
          <w:p>
            <w:pPr>
              <w:jc w:val="center"/>
            </w:pPr>
            <w:r>
              <w:rPr>
                <w:sz w:val="16"/>
              </w:rPr>
              <w:t>0.2850</w:t>
            </w:r>
          </w:p>
        </w:tc>
        <w:tc>
          <w:tcPr>
            <w:tcW w:type="dxa" w:w="520"/>
          </w:tcPr>
          <w:p>
            <w:pPr>
              <w:jc w:val="center"/>
            </w:pPr>
            <w:r>
              <w:rPr>
                <w:sz w:val="16"/>
              </w:rPr>
              <w:t>0.0490</w:t>
            </w:r>
          </w:p>
        </w:tc>
        <w:tc>
          <w:tcPr>
            <w:tcW w:type="dxa" w:w="520"/>
          </w:tcPr>
          <w:p>
            <w:pPr>
              <w:jc w:val="center"/>
            </w:pPr>
            <w:r>
              <w:rPr>
                <w:sz w:val="16"/>
              </w:rPr>
              <w:t>-0.2360</w:t>
            </w:r>
          </w:p>
        </w:tc>
      </w:tr>
      <w:tr>
        <w:tc>
          <w:tcPr>
            <w:tcW w:type="dxa" w:w="520"/>
          </w:tcPr>
          <w:p>
            <w:pPr>
              <w:jc w:val="left"/>
            </w:pPr>
            <w:r>
              <w:rPr>
                <w:sz w:val="16"/>
              </w:rPr>
              <w:t>resize</w:t>
            </w:r>
          </w:p>
        </w:tc>
        <w:tc>
          <w:tcPr>
            <w:tcW w:type="dxa" w:w="520"/>
          </w:tcPr>
          <w:p>
            <w:pPr>
              <w:jc w:val="center"/>
            </w:pPr>
            <w:r>
              <w:rPr>
                <w:sz w:val="16"/>
              </w:rPr>
              <w:t>50</w:t>
            </w:r>
          </w:p>
        </w:tc>
        <w:tc>
          <w:tcPr>
            <w:tcW w:type="dxa" w:w="520"/>
          </w:tcPr>
          <w:p>
            <w:pPr>
              <w:jc w:val="center"/>
            </w:pPr>
            <w:r>
              <w:rPr>
                <w:sz w:val="16"/>
              </w:rPr>
              <w:t>0.9339</w:t>
            </w:r>
          </w:p>
        </w:tc>
        <w:tc>
          <w:tcPr>
            <w:tcW w:type="dxa" w:w="520"/>
          </w:tcPr>
          <w:p>
            <w:pPr>
              <w:jc w:val="center"/>
            </w:pPr>
            <w:r>
              <w:rPr>
                <w:sz w:val="16"/>
              </w:rPr>
              <w:t>0.9783</w:t>
            </w:r>
          </w:p>
        </w:tc>
        <w:tc>
          <w:tcPr>
            <w:tcW w:type="dxa" w:w="520"/>
          </w:tcPr>
          <w:p>
            <w:pPr>
              <w:jc w:val="center"/>
            </w:pPr>
            <w:r>
              <w:rPr>
                <w:sz w:val="16"/>
              </w:rPr>
              <w:t>+0.0444</w:t>
            </w:r>
          </w:p>
        </w:tc>
        <w:tc>
          <w:tcPr>
            <w:tcW w:type="dxa" w:w="520"/>
          </w:tcPr>
          <w:p>
            <w:pPr>
              <w:jc w:val="center"/>
            </w:pPr>
            <w:r>
              <w:rPr>
                <w:sz w:val="16"/>
              </w:rPr>
              <w:t>0.9849</w:t>
            </w:r>
          </w:p>
        </w:tc>
        <w:tc>
          <w:tcPr>
            <w:tcW w:type="dxa" w:w="520"/>
          </w:tcPr>
          <w:p>
            <w:pPr>
              <w:jc w:val="center"/>
            </w:pPr>
            <w:r>
              <w:rPr>
                <w:sz w:val="16"/>
              </w:rPr>
              <w:t>0.9955</w:t>
            </w:r>
          </w:p>
        </w:tc>
        <w:tc>
          <w:tcPr>
            <w:tcW w:type="dxa" w:w="520"/>
          </w:tcPr>
          <w:p>
            <w:pPr>
              <w:jc w:val="center"/>
            </w:pPr>
            <w:r>
              <w:rPr>
                <w:sz w:val="16"/>
              </w:rPr>
              <w:t>+0.0107</w:t>
            </w:r>
          </w:p>
        </w:tc>
        <w:tc>
          <w:tcPr>
            <w:tcW w:type="dxa" w:w="520"/>
          </w:tcPr>
          <w:p>
            <w:pPr>
              <w:jc w:val="center"/>
            </w:pPr>
            <w:r>
              <w:rPr>
                <w:sz w:val="16"/>
              </w:rPr>
              <w:t>0.9915</w:t>
            </w:r>
          </w:p>
        </w:tc>
        <w:tc>
          <w:tcPr>
            <w:tcW w:type="dxa" w:w="520"/>
          </w:tcPr>
          <w:p>
            <w:pPr>
              <w:jc w:val="center"/>
            </w:pPr>
            <w:r>
              <w:rPr>
                <w:sz w:val="16"/>
              </w:rPr>
              <w:t>0.9975</w:t>
            </w:r>
          </w:p>
        </w:tc>
        <w:tc>
          <w:tcPr>
            <w:tcW w:type="dxa" w:w="520"/>
          </w:tcPr>
          <w:p>
            <w:pPr>
              <w:jc w:val="center"/>
            </w:pPr>
            <w:r>
              <w:rPr>
                <w:sz w:val="16"/>
              </w:rPr>
              <w:t>+0.0060</w:t>
            </w:r>
          </w:p>
        </w:tc>
        <w:tc>
          <w:tcPr>
            <w:tcW w:type="dxa" w:w="520"/>
          </w:tcPr>
          <w:p>
            <w:pPr>
              <w:jc w:val="center"/>
            </w:pPr>
            <w:r>
              <w:rPr>
                <w:sz w:val="16"/>
              </w:rPr>
              <w:t>0.0060</w:t>
            </w:r>
          </w:p>
        </w:tc>
        <w:tc>
          <w:tcPr>
            <w:tcW w:type="dxa" w:w="520"/>
          </w:tcPr>
          <w:p>
            <w:pPr>
              <w:jc w:val="center"/>
            </w:pPr>
            <w:r>
              <w:rPr>
                <w:sz w:val="16"/>
              </w:rPr>
              <w:t>0.0122</w:t>
            </w:r>
          </w:p>
        </w:tc>
        <w:tc>
          <w:tcPr>
            <w:tcW w:type="dxa" w:w="520"/>
          </w:tcPr>
          <w:p>
            <w:pPr>
              <w:jc w:val="center"/>
            </w:pPr>
            <w:r>
              <w:rPr>
                <w:sz w:val="16"/>
              </w:rPr>
              <w:t>0.2558</w:t>
            </w:r>
          </w:p>
        </w:tc>
        <w:tc>
          <w:tcPr>
            <w:tcW w:type="dxa" w:w="520"/>
          </w:tcPr>
          <w:p>
            <w:pPr>
              <w:jc w:val="center"/>
            </w:pPr>
            <w:r>
              <w:rPr>
                <w:sz w:val="16"/>
              </w:rPr>
              <w:t>0.0600</w:t>
            </w:r>
          </w:p>
        </w:tc>
        <w:tc>
          <w:tcPr>
            <w:tcW w:type="dxa" w:w="520"/>
          </w:tcPr>
          <w:p>
            <w:pPr>
              <w:jc w:val="center"/>
            </w:pPr>
            <w:r>
              <w:rPr>
                <w:sz w:val="16"/>
              </w:rPr>
              <w:t>0.1309</w:t>
            </w:r>
          </w:p>
        </w:tc>
        <w:tc>
          <w:tcPr>
            <w:tcW w:type="dxa" w:w="520"/>
          </w:tcPr>
          <w:p>
            <w:pPr>
              <w:jc w:val="center"/>
            </w:pPr>
            <w:r>
              <w:rPr>
                <w:sz w:val="16"/>
              </w:rPr>
              <w:t>0.0361</w:t>
            </w:r>
          </w:p>
        </w:tc>
        <w:tc>
          <w:tcPr>
            <w:tcW w:type="dxa" w:w="520"/>
          </w:tcPr>
          <w:p>
            <w:pPr>
              <w:jc w:val="center"/>
            </w:pPr>
            <w:r>
              <w:rPr>
                <w:sz w:val="16"/>
              </w:rPr>
              <w:t>-0.0948</w:t>
            </w:r>
          </w:p>
        </w:tc>
      </w:tr>
      <w:tr>
        <w:tc>
          <w:tcPr>
            <w:tcW w:type="dxa" w:w="520"/>
          </w:tcPr>
          <w:p>
            <w:pPr>
              <w:jc w:val="left"/>
            </w:pPr>
            <w:r>
              <w:rPr>
                <w:sz w:val="16"/>
              </w:rPr>
              <w:t>resize</w:t>
            </w:r>
          </w:p>
        </w:tc>
        <w:tc>
          <w:tcPr>
            <w:tcW w:type="dxa" w:w="520"/>
          </w:tcPr>
          <w:p>
            <w:pPr>
              <w:jc w:val="center"/>
            </w:pPr>
            <w:r>
              <w:rPr>
                <w:sz w:val="16"/>
              </w:rPr>
              <w:t>75</w:t>
            </w:r>
          </w:p>
        </w:tc>
        <w:tc>
          <w:tcPr>
            <w:tcW w:type="dxa" w:w="520"/>
          </w:tcPr>
          <w:p>
            <w:pPr>
              <w:jc w:val="center"/>
            </w:pPr>
            <w:r>
              <w:rPr>
                <w:sz w:val="16"/>
              </w:rPr>
              <w:t>0.9679</w:t>
            </w:r>
          </w:p>
        </w:tc>
        <w:tc>
          <w:tcPr>
            <w:tcW w:type="dxa" w:w="520"/>
          </w:tcPr>
          <w:p>
            <w:pPr>
              <w:jc w:val="center"/>
            </w:pPr>
            <w:r>
              <w:rPr>
                <w:sz w:val="16"/>
              </w:rPr>
              <w:t>0.9806</w:t>
            </w:r>
          </w:p>
        </w:tc>
        <w:tc>
          <w:tcPr>
            <w:tcW w:type="dxa" w:w="520"/>
          </w:tcPr>
          <w:p>
            <w:pPr>
              <w:jc w:val="center"/>
            </w:pPr>
            <w:r>
              <w:rPr>
                <w:sz w:val="16"/>
              </w:rPr>
              <w:t>+0.0127</w:t>
            </w:r>
          </w:p>
        </w:tc>
        <w:tc>
          <w:tcPr>
            <w:tcW w:type="dxa" w:w="520"/>
          </w:tcPr>
          <w:p>
            <w:pPr>
              <w:jc w:val="center"/>
            </w:pPr>
            <w:r>
              <w:rPr>
                <w:sz w:val="16"/>
              </w:rPr>
              <w:t>0.9944</w:t>
            </w:r>
          </w:p>
        </w:tc>
        <w:tc>
          <w:tcPr>
            <w:tcW w:type="dxa" w:w="520"/>
          </w:tcPr>
          <w:p>
            <w:pPr>
              <w:jc w:val="center"/>
            </w:pPr>
            <w:r>
              <w:rPr>
                <w:sz w:val="16"/>
              </w:rPr>
              <w:t>0.9961</w:t>
            </w:r>
          </w:p>
        </w:tc>
        <w:tc>
          <w:tcPr>
            <w:tcW w:type="dxa" w:w="520"/>
          </w:tcPr>
          <w:p>
            <w:pPr>
              <w:jc w:val="center"/>
            </w:pPr>
            <w:r>
              <w:rPr>
                <w:sz w:val="16"/>
              </w:rPr>
              <w:t>+0.0017</w:t>
            </w:r>
          </w:p>
        </w:tc>
        <w:tc>
          <w:tcPr>
            <w:tcW w:type="dxa" w:w="520"/>
          </w:tcPr>
          <w:p>
            <w:pPr>
              <w:jc w:val="center"/>
            </w:pPr>
            <w:r>
              <w:rPr>
                <w:sz w:val="16"/>
              </w:rPr>
              <w:t>0.9968</w:t>
            </w:r>
          </w:p>
        </w:tc>
        <w:tc>
          <w:tcPr>
            <w:tcW w:type="dxa" w:w="520"/>
          </w:tcPr>
          <w:p>
            <w:pPr>
              <w:jc w:val="center"/>
            </w:pPr>
            <w:r>
              <w:rPr>
                <w:sz w:val="16"/>
              </w:rPr>
              <w:t>0.9978</w:t>
            </w:r>
          </w:p>
        </w:tc>
        <w:tc>
          <w:tcPr>
            <w:tcW w:type="dxa" w:w="520"/>
          </w:tcPr>
          <w:p>
            <w:pPr>
              <w:jc w:val="center"/>
            </w:pPr>
            <w:r>
              <w:rPr>
                <w:sz w:val="16"/>
              </w:rPr>
              <w:t>+0.0011</w:t>
            </w:r>
          </w:p>
        </w:tc>
        <w:tc>
          <w:tcPr>
            <w:tcW w:type="dxa" w:w="520"/>
          </w:tcPr>
          <w:p>
            <w:pPr>
              <w:jc w:val="center"/>
            </w:pPr>
            <w:r>
              <w:rPr>
                <w:sz w:val="16"/>
              </w:rPr>
              <w:t>0.0053</w:t>
            </w:r>
          </w:p>
        </w:tc>
        <w:tc>
          <w:tcPr>
            <w:tcW w:type="dxa" w:w="520"/>
          </w:tcPr>
          <w:p>
            <w:pPr>
              <w:jc w:val="center"/>
            </w:pPr>
            <w:r>
              <w:rPr>
                <w:sz w:val="16"/>
              </w:rPr>
              <w:t>0.0123</w:t>
            </w:r>
          </w:p>
        </w:tc>
        <w:tc>
          <w:tcPr>
            <w:tcW w:type="dxa" w:w="520"/>
          </w:tcPr>
          <w:p>
            <w:pPr>
              <w:jc w:val="center"/>
            </w:pPr>
            <w:r>
              <w:rPr>
                <w:sz w:val="16"/>
              </w:rPr>
              <w:t>0.1153</w:t>
            </w:r>
          </w:p>
        </w:tc>
        <w:tc>
          <w:tcPr>
            <w:tcW w:type="dxa" w:w="520"/>
          </w:tcPr>
          <w:p>
            <w:pPr>
              <w:jc w:val="center"/>
            </w:pPr>
            <w:r>
              <w:rPr>
                <w:sz w:val="16"/>
              </w:rPr>
              <w:t>0.0509</w:t>
            </w:r>
          </w:p>
        </w:tc>
        <w:tc>
          <w:tcPr>
            <w:tcW w:type="dxa" w:w="520"/>
          </w:tcPr>
          <w:p>
            <w:pPr>
              <w:jc w:val="center"/>
            </w:pPr>
            <w:r>
              <w:rPr>
                <w:sz w:val="16"/>
              </w:rPr>
              <w:t>0.0603</w:t>
            </w:r>
          </w:p>
        </w:tc>
        <w:tc>
          <w:tcPr>
            <w:tcW w:type="dxa" w:w="520"/>
          </w:tcPr>
          <w:p>
            <w:pPr>
              <w:jc w:val="center"/>
            </w:pPr>
            <w:r>
              <w:rPr>
                <w:sz w:val="16"/>
              </w:rPr>
              <w:t>0.0316</w:t>
            </w:r>
          </w:p>
        </w:tc>
        <w:tc>
          <w:tcPr>
            <w:tcW w:type="dxa" w:w="520"/>
          </w:tcPr>
          <w:p>
            <w:pPr>
              <w:jc w:val="center"/>
            </w:pPr>
            <w:r>
              <w:rPr>
                <w:sz w:val="16"/>
              </w:rPr>
              <w:t>-0.0287</w:t>
            </w:r>
          </w:p>
        </w:tc>
      </w:tr>
    </w:tbl>
    <w:p>
      <w:pPr>
        <w:spacing w:after="0"/>
        <w:jc w:val="center"/>
      </w:pPr>
      <w:r>
        <w:drawing>
          <wp:inline xmlns:a="http://schemas.openxmlformats.org/drawingml/2006/main" xmlns:pic="http://schemas.openxmlformats.org/drawingml/2006/picture">
            <wp:extent cx="6035040" cy="1500838"/>
            <wp:docPr id="4" name="Picture 4"/>
            <wp:cNvGraphicFramePr>
              <a:graphicFrameLocks noChangeAspect="1"/>
            </wp:cNvGraphicFramePr>
            <a:graphic>
              <a:graphicData uri="http://schemas.openxmlformats.org/drawingml/2006/picture">
                <pic:pic>
                  <pic:nvPicPr>
                    <pic:cNvPr id="0" name="fig4_severity_curves.png"/>
                    <pic:cNvPicPr/>
                  </pic:nvPicPr>
                  <pic:blipFill>
                    <a:blip r:embed="rId12"/>
                    <a:stretch>
                      <a:fillRect/>
                    </a:stretch>
                  </pic:blipFill>
                  <pic:spPr>
                    <a:xfrm>
                      <a:off x="0" y="0"/>
                      <a:ext cx="6035040" cy="1500838"/>
                    </a:xfrm>
                    <a:prstGeom prst="rect"/>
                  </pic:spPr>
                </pic:pic>
              </a:graphicData>
            </a:graphic>
          </wp:inline>
        </w:drawing>
      </w:r>
    </w:p>
    <w:p>
      <w:pPr>
        <w:spacing w:after="160" w:before="40"/>
        <w:jc w:val="center"/>
      </w:pPr>
      <w:r>
        <w:rPr>
          <w:i/>
          <w:sz w:val="18"/>
        </w:rPr>
        <w:t>Fig. 4. F1 and ACER of E01 (baseline) and E07 (robust) versus severity for JPEG, resize, blur, noise, and brightness.</w:t>
      </w:r>
    </w:p>
    <w:p>
      <w:pPr>
        <w:pStyle w:val="Heading2"/>
      </w:pPr>
      <w:r>
        <w:t>5.3 Aggregate and Worst-Case Performance</w:t>
      </w:r>
    </w:p>
    <w:p>
      <w:pPr>
        <w:jc w:val="both"/>
      </w:pPr>
      <w:r>
        <w:rPr>
          <w:sz w:val="22"/>
        </w:rPr>
        <w:t>Table VII aggregates each metric over the sixteen degradation conditions and Table VIII reports worst cases; Fig. 5 summarizes the aggregate comparison.</w:t>
      </w:r>
    </w:p>
    <w:p>
      <w:pPr>
        <w:spacing w:after="160" w:before="40"/>
        <w:jc w:val="center"/>
      </w:pPr>
      <w:r>
        <w:rPr>
          <w:i/>
          <w:sz w:val="18"/>
        </w:rPr>
        <w:t>Table VII. Aggregates over the 16 degradation conditions.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b/>
                <w:sz w:val="18"/>
              </w:rPr>
              <w:t>Metric</w:t>
            </w:r>
          </w:p>
        </w:tc>
        <w:tc>
          <w:tcPr>
            <w:tcW w:type="dxa" w:w="2340"/>
          </w:tcPr>
          <w:p>
            <w:pPr>
              <w:jc w:val="center"/>
            </w:pPr>
            <w:r>
              <w:rPr>
                <w:b/>
                <w:sz w:val="18"/>
              </w:rPr>
              <w:t>E01</w:t>
            </w:r>
          </w:p>
        </w:tc>
        <w:tc>
          <w:tcPr>
            <w:tcW w:type="dxa" w:w="2340"/>
          </w:tcPr>
          <w:p>
            <w:pPr>
              <w:jc w:val="center"/>
            </w:pPr>
            <w:r>
              <w:rPr>
                <w:b/>
                <w:sz w:val="18"/>
              </w:rPr>
              <w:t>E07</w:t>
            </w:r>
          </w:p>
        </w:tc>
        <w:tc>
          <w:tcPr>
            <w:tcW w:type="dxa" w:w="2340"/>
          </w:tcPr>
          <w:p>
            <w:pPr>
              <w:jc w:val="center"/>
            </w:pPr>
            <w:r>
              <w:rPr>
                <w:b/>
                <w:sz w:val="18"/>
              </w:rPr>
              <w:t>Δ</w:t>
            </w:r>
          </w:p>
        </w:tc>
      </w:tr>
      <w:tr>
        <w:tc>
          <w:tcPr>
            <w:tcW w:type="dxa" w:w="2340"/>
          </w:tcPr>
          <w:p>
            <w:pPr>
              <w:jc w:val="left"/>
            </w:pPr>
            <w:r>
              <w:rPr>
                <w:sz w:val="18"/>
              </w:rPr>
              <w:t>Mean F1</w:t>
            </w:r>
          </w:p>
        </w:tc>
        <w:tc>
          <w:tcPr>
            <w:tcW w:type="dxa" w:w="2340"/>
          </w:tcPr>
          <w:p>
            <w:pPr>
              <w:jc w:val="center"/>
            </w:pPr>
            <w:r>
              <w:rPr>
                <w:sz w:val="18"/>
              </w:rPr>
              <w:t>0.9226</w:t>
            </w:r>
          </w:p>
        </w:tc>
        <w:tc>
          <w:tcPr>
            <w:tcW w:type="dxa" w:w="2340"/>
          </w:tcPr>
          <w:p>
            <w:pPr>
              <w:jc w:val="center"/>
            </w:pPr>
            <w:r>
              <w:rPr>
                <w:sz w:val="18"/>
              </w:rPr>
              <w:t>0.9743</w:t>
            </w:r>
          </w:p>
        </w:tc>
        <w:tc>
          <w:tcPr>
            <w:tcW w:type="dxa" w:w="2340"/>
          </w:tcPr>
          <w:p>
            <w:pPr>
              <w:jc w:val="center"/>
            </w:pPr>
            <w:r>
              <w:rPr>
                <w:sz w:val="18"/>
              </w:rPr>
              <w:t>+0.0516</w:t>
            </w:r>
          </w:p>
        </w:tc>
      </w:tr>
      <w:tr>
        <w:tc>
          <w:tcPr>
            <w:tcW w:type="dxa" w:w="2340"/>
          </w:tcPr>
          <w:p>
            <w:pPr>
              <w:jc w:val="left"/>
            </w:pPr>
            <w:r>
              <w:rPr>
                <w:sz w:val="18"/>
              </w:rPr>
              <w:t>Mean ROC-AUC</w:t>
            </w:r>
          </w:p>
        </w:tc>
        <w:tc>
          <w:tcPr>
            <w:tcW w:type="dxa" w:w="2340"/>
          </w:tcPr>
          <w:p>
            <w:pPr>
              <w:jc w:val="center"/>
            </w:pPr>
            <w:r>
              <w:rPr>
                <w:sz w:val="18"/>
              </w:rPr>
              <w:t>0.9785</w:t>
            </w:r>
          </w:p>
        </w:tc>
        <w:tc>
          <w:tcPr>
            <w:tcW w:type="dxa" w:w="2340"/>
          </w:tcPr>
          <w:p>
            <w:pPr>
              <w:jc w:val="center"/>
            </w:pPr>
            <w:r>
              <w:rPr>
                <w:sz w:val="18"/>
              </w:rPr>
              <w:t>0.9939</w:t>
            </w:r>
          </w:p>
        </w:tc>
        <w:tc>
          <w:tcPr>
            <w:tcW w:type="dxa" w:w="2340"/>
          </w:tcPr>
          <w:p>
            <w:pPr>
              <w:jc w:val="center"/>
            </w:pPr>
            <w:r>
              <w:rPr>
                <w:sz w:val="18"/>
              </w:rPr>
              <w:t>+0.0155</w:t>
            </w:r>
          </w:p>
        </w:tc>
      </w:tr>
      <w:tr>
        <w:tc>
          <w:tcPr>
            <w:tcW w:type="dxa" w:w="2340"/>
          </w:tcPr>
          <w:p>
            <w:pPr>
              <w:jc w:val="left"/>
            </w:pPr>
            <w:r>
              <w:rPr>
                <w:sz w:val="18"/>
              </w:rPr>
              <w:t>Mean PR-AUC</w:t>
            </w:r>
          </w:p>
        </w:tc>
        <w:tc>
          <w:tcPr>
            <w:tcW w:type="dxa" w:w="2340"/>
          </w:tcPr>
          <w:p>
            <w:pPr>
              <w:jc w:val="center"/>
            </w:pPr>
            <w:r>
              <w:rPr>
                <w:sz w:val="18"/>
              </w:rPr>
              <w:t>0.9877</w:t>
            </w:r>
          </w:p>
        </w:tc>
        <w:tc>
          <w:tcPr>
            <w:tcW w:type="dxa" w:w="2340"/>
          </w:tcPr>
          <w:p>
            <w:pPr>
              <w:jc w:val="center"/>
            </w:pPr>
            <w:r>
              <w:rPr>
                <w:sz w:val="18"/>
              </w:rPr>
              <w:t>0.9965</w:t>
            </w:r>
          </w:p>
        </w:tc>
        <w:tc>
          <w:tcPr>
            <w:tcW w:type="dxa" w:w="2340"/>
          </w:tcPr>
          <w:p>
            <w:pPr>
              <w:jc w:val="center"/>
            </w:pPr>
            <w:r>
              <w:rPr>
                <w:sz w:val="18"/>
              </w:rPr>
              <w:t>+0.0088</w:t>
            </w:r>
          </w:p>
        </w:tc>
      </w:tr>
      <w:tr>
        <w:tc>
          <w:tcPr>
            <w:tcW w:type="dxa" w:w="2340"/>
          </w:tcPr>
          <w:p>
            <w:pPr>
              <w:jc w:val="left"/>
            </w:pPr>
            <w:r>
              <w:rPr>
                <w:sz w:val="18"/>
              </w:rPr>
              <w:t>Mean APCER</w:t>
            </w:r>
          </w:p>
        </w:tc>
        <w:tc>
          <w:tcPr>
            <w:tcW w:type="dxa" w:w="2340"/>
          </w:tcPr>
          <w:p>
            <w:pPr>
              <w:jc w:val="center"/>
            </w:pPr>
            <w:r>
              <w:rPr>
                <w:sz w:val="18"/>
              </w:rPr>
              <w:t>0.0701</w:t>
            </w:r>
          </w:p>
        </w:tc>
        <w:tc>
          <w:tcPr>
            <w:tcW w:type="dxa" w:w="2340"/>
          </w:tcPr>
          <w:p>
            <w:pPr>
              <w:jc w:val="center"/>
            </w:pPr>
            <w:r>
              <w:rPr>
                <w:sz w:val="18"/>
              </w:rPr>
              <w:t>0.0225</w:t>
            </w:r>
          </w:p>
        </w:tc>
        <w:tc>
          <w:tcPr>
            <w:tcW w:type="dxa" w:w="2340"/>
          </w:tcPr>
          <w:p>
            <w:pPr>
              <w:jc w:val="center"/>
            </w:pPr>
            <w:r>
              <w:rPr>
                <w:sz w:val="18"/>
              </w:rPr>
              <w:t>-0.0476</w:t>
            </w:r>
          </w:p>
        </w:tc>
      </w:tr>
      <w:tr>
        <w:tc>
          <w:tcPr>
            <w:tcW w:type="dxa" w:w="2340"/>
          </w:tcPr>
          <w:p>
            <w:pPr>
              <w:jc w:val="left"/>
            </w:pPr>
            <w:r>
              <w:rPr>
                <w:sz w:val="18"/>
              </w:rPr>
              <w:t>Mean BPCER</w:t>
            </w:r>
          </w:p>
        </w:tc>
        <w:tc>
          <w:tcPr>
            <w:tcW w:type="dxa" w:w="2340"/>
          </w:tcPr>
          <w:p>
            <w:pPr>
              <w:jc w:val="center"/>
            </w:pPr>
            <w:r>
              <w:rPr>
                <w:sz w:val="18"/>
              </w:rPr>
              <w:t>0.1605</w:t>
            </w:r>
          </w:p>
        </w:tc>
        <w:tc>
          <w:tcPr>
            <w:tcW w:type="dxa" w:w="2340"/>
          </w:tcPr>
          <w:p>
            <w:pPr>
              <w:jc w:val="center"/>
            </w:pPr>
            <w:r>
              <w:rPr>
                <w:sz w:val="18"/>
              </w:rPr>
              <w:t>0.0555</w:t>
            </w:r>
          </w:p>
        </w:tc>
        <w:tc>
          <w:tcPr>
            <w:tcW w:type="dxa" w:w="2340"/>
          </w:tcPr>
          <w:p>
            <w:pPr>
              <w:jc w:val="center"/>
            </w:pPr>
            <w:r>
              <w:rPr>
                <w:sz w:val="18"/>
              </w:rPr>
              <w:t>-0.1050</w:t>
            </w:r>
          </w:p>
        </w:tc>
      </w:tr>
      <w:tr>
        <w:tc>
          <w:tcPr>
            <w:tcW w:type="dxa" w:w="2340"/>
          </w:tcPr>
          <w:p>
            <w:pPr>
              <w:jc w:val="left"/>
            </w:pPr>
            <w:r>
              <w:rPr>
                <w:sz w:val="18"/>
              </w:rPr>
              <w:t>Mean ACER</w:t>
            </w:r>
          </w:p>
        </w:tc>
        <w:tc>
          <w:tcPr>
            <w:tcW w:type="dxa" w:w="2340"/>
          </w:tcPr>
          <w:p>
            <w:pPr>
              <w:jc w:val="center"/>
            </w:pPr>
            <w:r>
              <w:rPr>
                <w:sz w:val="18"/>
              </w:rPr>
              <w:t>0.1153</w:t>
            </w:r>
          </w:p>
        </w:tc>
        <w:tc>
          <w:tcPr>
            <w:tcW w:type="dxa" w:w="2340"/>
          </w:tcPr>
          <w:p>
            <w:pPr>
              <w:jc w:val="center"/>
            </w:pPr>
            <w:r>
              <w:rPr>
                <w:sz w:val="18"/>
              </w:rPr>
              <w:t>0.0390</w:t>
            </w:r>
          </w:p>
        </w:tc>
        <w:tc>
          <w:tcPr>
            <w:tcW w:type="dxa" w:w="2340"/>
          </w:tcPr>
          <w:p>
            <w:pPr>
              <w:jc w:val="center"/>
            </w:pPr>
            <w:r>
              <w:rPr>
                <w:sz w:val="18"/>
              </w:rPr>
              <w:t>-0.0763</w:t>
            </w:r>
          </w:p>
        </w:tc>
      </w:tr>
    </w:tbl>
    <w:p>
      <w:pPr>
        <w:spacing w:after="160" w:before="40"/>
        <w:jc w:val="center"/>
      </w:pPr>
      <w:r>
        <w:rPr>
          <w:i/>
          <w:sz w:val="18"/>
        </w:rPr>
        <w:t>Table VIII. Worst-case performance over the 16 degradation conditions.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b/>
                <w:sz w:val="18"/>
              </w:rPr>
              <w:t>Metric</w:t>
            </w:r>
          </w:p>
        </w:tc>
        <w:tc>
          <w:tcPr>
            <w:tcW w:type="dxa" w:w="3120"/>
          </w:tcPr>
          <w:p>
            <w:pPr>
              <w:jc w:val="center"/>
            </w:pPr>
            <w:r>
              <w:rPr>
                <w:b/>
                <w:sz w:val="18"/>
              </w:rPr>
              <w:t>E01</w:t>
            </w:r>
          </w:p>
        </w:tc>
        <w:tc>
          <w:tcPr>
            <w:tcW w:type="dxa" w:w="3120"/>
          </w:tcPr>
          <w:p>
            <w:pPr>
              <w:jc w:val="center"/>
            </w:pPr>
            <w:r>
              <w:rPr>
                <w:b/>
                <w:sz w:val="18"/>
              </w:rPr>
              <w:t>E07</w:t>
            </w:r>
          </w:p>
        </w:tc>
      </w:tr>
      <w:tr>
        <w:tc>
          <w:tcPr>
            <w:tcW w:type="dxa" w:w="3120"/>
          </w:tcPr>
          <w:p>
            <w:pPr>
              <w:jc w:val="left"/>
            </w:pPr>
            <w:r>
              <w:rPr>
                <w:sz w:val="18"/>
              </w:rPr>
              <w:t>Worst F1</w:t>
            </w:r>
          </w:p>
        </w:tc>
        <w:tc>
          <w:tcPr>
            <w:tcW w:type="dxa" w:w="3120"/>
          </w:tcPr>
          <w:p>
            <w:pPr>
              <w:jc w:val="center"/>
            </w:pPr>
            <w:r>
              <w:rPr>
                <w:sz w:val="18"/>
              </w:rPr>
              <w:t>0.7985 (brightness bright)</w:t>
            </w:r>
          </w:p>
        </w:tc>
        <w:tc>
          <w:tcPr>
            <w:tcW w:type="dxa" w:w="3120"/>
          </w:tcPr>
          <w:p>
            <w:pPr>
              <w:jc w:val="center"/>
            </w:pPr>
            <w:r>
              <w:rPr>
                <w:sz w:val="18"/>
              </w:rPr>
              <w:t>0.9446 (brightness dark)</w:t>
            </w:r>
          </w:p>
        </w:tc>
      </w:tr>
      <w:tr>
        <w:tc>
          <w:tcPr>
            <w:tcW w:type="dxa" w:w="3120"/>
          </w:tcPr>
          <w:p>
            <w:pPr>
              <w:jc w:val="left"/>
            </w:pPr>
            <w:r>
              <w:rPr>
                <w:sz w:val="18"/>
              </w:rPr>
              <w:t>Worst ACER</w:t>
            </w:r>
          </w:p>
        </w:tc>
        <w:tc>
          <w:tcPr>
            <w:tcW w:type="dxa" w:w="3120"/>
          </w:tcPr>
          <w:p>
            <w:pPr>
              <w:jc w:val="center"/>
            </w:pPr>
            <w:r>
              <w:rPr>
                <w:sz w:val="18"/>
              </w:rPr>
              <w:t>0.3310 (blur strong)</w:t>
            </w:r>
          </w:p>
        </w:tc>
        <w:tc>
          <w:tcPr>
            <w:tcW w:type="dxa" w:w="3120"/>
          </w:tcPr>
          <w:p>
            <w:pPr>
              <w:jc w:val="center"/>
            </w:pPr>
            <w:r>
              <w:rPr>
                <w:sz w:val="18"/>
              </w:rPr>
              <w:t>0.1012 (brightness dark)</w:t>
            </w:r>
          </w:p>
        </w:tc>
      </w:tr>
    </w:tbl>
    <w:p>
      <w:pPr>
        <w:jc w:val="both"/>
      </w:pPr>
      <w:r>
        <w:rPr>
          <w:sz w:val="22"/>
        </w:rPr>
        <w:t>Robust training improves every aggregate metric: mean F1 +0.0516, mean ROC-AUC +0.0155, mean PR-AUC +0.0088, mean ACER -0.0763. The BPCER gain (-0.1050) exceeds the APCER gain (-0.0476): robustness mainly recovers live presentations misclassified under resolution loss and blur. The worst-case conditions shift from blur strong and brightness bright (baseline) to brightness dark (robust). The robust model's worst F1 (0.9446) exceeds the baseline's mean F1 (0.9226), and its worst ACER (0.1012) is lower than the baseline's mean ACER (0.1153).</w:t>
      </w:r>
    </w:p>
    <w:p>
      <w:pPr>
        <w:spacing w:after="0"/>
        <w:jc w:val="center"/>
      </w:pPr>
      <w:r>
        <w:drawing>
          <wp:inline xmlns:a="http://schemas.openxmlformats.org/drawingml/2006/main" xmlns:pic="http://schemas.openxmlformats.org/drawingml/2006/picture">
            <wp:extent cx="3017520" cy="1891070"/>
            <wp:docPr id="5" name="Picture 5"/>
            <wp:cNvGraphicFramePr>
              <a:graphicFrameLocks noChangeAspect="1"/>
            </wp:cNvGraphicFramePr>
            <a:graphic>
              <a:graphicData uri="http://schemas.openxmlformats.org/drawingml/2006/picture">
                <pic:pic>
                  <pic:nvPicPr>
                    <pic:cNvPr id="0" name="fig5_aggregate_bars.png"/>
                    <pic:cNvPicPr/>
                  </pic:nvPicPr>
                  <pic:blipFill>
                    <a:blip r:embed="rId13"/>
                    <a:stretch>
                      <a:fillRect/>
                    </a:stretch>
                  </pic:blipFill>
                  <pic:spPr>
                    <a:xfrm>
                      <a:off x="0" y="0"/>
                      <a:ext cx="3017520" cy="1891070"/>
                    </a:xfrm>
                    <a:prstGeom prst="rect"/>
                  </pic:spPr>
                </pic:pic>
              </a:graphicData>
            </a:graphic>
          </wp:inline>
        </w:drawing>
      </w:r>
    </w:p>
    <w:p>
      <w:pPr>
        <w:spacing w:after="160" w:before="40"/>
        <w:jc w:val="center"/>
      </w:pPr>
      <w:r>
        <w:rPr>
          <w:i/>
          <w:sz w:val="18"/>
        </w:rPr>
        <w:t>Fig. 5. Aggregate comparison over the 16 degradation conditions: mean ACER (0.1153 vs 0.0390), worst-case ACER (0.3310 vs 0.1012), and worst-case F1 (0.7985 vs 0.9446).</w:t>
      </w:r>
    </w:p>
    <w:p>
      <w:pPr>
        <w:pStyle w:val="Heading2"/>
      </w:pPr>
      <w:r>
        <w:t>5.4 Per-Degradation Analysis</w:t>
      </w:r>
    </w:p>
    <w:p>
      <w:pPr>
        <w:jc w:val="both"/>
      </w:pPr>
      <w:r>
        <w:rPr>
          <w:sz w:val="22"/>
        </w:rPr>
        <w:t>JPEG: both models degrade monotonically, but the gap favors the robust model: ΔF1 grows from -0.0036 at quality 90 to +0.0763 at quality 30 (ΔACER -0.0633); ROC-AUC improves at every level below 90.</w:t>
      </w:r>
    </w:p>
    <w:p>
      <w:pPr>
        <w:jc w:val="both"/>
      </w:pPr>
      <w:r>
        <w:rPr>
          <w:sz w:val="22"/>
        </w:rPr>
        <w:t>Resize: the baseline exhibits a masking effect — F1 falls 0.9679→0.8672 while ROC-AUC collapses 0.9944→0.9405 and BPCER reaches 0.5622 at 25%. The robust model keeps F1 ≥0.9704, lifts ROC-AUC by up to +0.0517 and cuts BPCER to 0.0802 (ΔACER -0.2360).</w:t>
      </w:r>
    </w:p>
    <w:p>
      <w:pPr>
        <w:jc w:val="both"/>
      </w:pPr>
      <w:r>
        <w:rPr>
          <w:sz w:val="22"/>
        </w:rPr>
        <w:t>Blur: baseline ranking declines sharply at medium/strong levels (ROC-AUC 0.9646/0.9161; BPCER 0.4218/0.6532; ACER 0.3310 at strong). The robust model recovers most of this (ΔAUC +0.0301/+0.0745; ΔBPCER -0.3565/-0.5711; ΔACER -0.2789 at strong — the largest absolute ACER improvement observed.</w:t>
      </w:r>
    </w:p>
    <w:p>
      <w:pPr>
        <w:jc w:val="both"/>
      </w:pPr>
      <w:r>
        <w:rPr>
          <w:sz w:val="22"/>
        </w:rPr>
        <w:t>Noise: the baseline degrades visibly (F1 0.9849→0.9283→0.8487; APCER up to 0.2532), while the robust model is nearly flat (F1 0.9832→0.9828→0.9781; APCER ≤0.0251; ACER ≤0.0302; ΔF1 +0.1294 at high noise).</w:t>
      </w:r>
    </w:p>
    <w:p>
      <w:pPr>
        <w:jc w:val="both"/>
      </w:pPr>
      <w:r>
        <w:rPr>
          <w:sz w:val="22"/>
        </w:rPr>
        <w:t>Brightness: both models are asymmetric between dark and bright. At factor 0.6 the baseline reports F1 0.9190 with BPCER 0.2762; at 1.4 its F1 drops to 0.7985 with APCER 0.3300. The robust model retains F1 0.9446/0.9571 (ΔACER -0.0500/-0.1187). Dark illumination is its weakest condition, still far above the baseline worst case.</w:t>
      </w:r>
    </w:p>
    <w:p>
      <w:pPr>
        <w:jc w:val="both"/>
      </w:pPr>
      <w:r>
        <w:rPr>
          <w:sz w:val="22"/>
        </w:rPr>
        <w:t>Error-type structure per category (Table IX): for the baseline, JPEG and noise inflate APCER (category means 0.0810/0.1307) while resize and blur inflate BPCER (0.3111/0.3825). Robust training compresses both: blur BPCER 0.3825→0.0645, resize BPCER 0.3111→0.0637, noise APCER 0.1307→0.0185; in resize/blur its APCER is slightly higher (0.0141 vs 0.0064; 0.0165 vs 0.0070), so the error trade-off shifts rather than disappears.</w:t>
      </w:r>
    </w:p>
    <w:p>
      <w:pPr>
        <w:spacing w:after="160" w:before="40"/>
        <w:jc w:val="center"/>
      </w:pPr>
      <w:r>
        <w:rPr>
          <w:i/>
          <w:sz w:val="18"/>
        </w:rPr>
        <w:t>Table IX. Mean error rates per degradation category.</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jc w:val="center"/>
            </w:pPr>
            <w:r>
              <w:rPr>
                <w:b/>
                <w:sz w:val="16"/>
              </w:rPr>
              <w:t>Category</w:t>
            </w:r>
          </w:p>
        </w:tc>
        <w:tc>
          <w:tcPr>
            <w:tcW w:type="dxa" w:w="1040"/>
          </w:tcPr>
          <w:p>
            <w:pPr>
              <w:jc w:val="center"/>
            </w:pPr>
            <w:r>
              <w:rPr>
                <w:b/>
                <w:sz w:val="16"/>
              </w:rPr>
              <w:t>E01 F1</w:t>
            </w:r>
          </w:p>
        </w:tc>
        <w:tc>
          <w:tcPr>
            <w:tcW w:type="dxa" w:w="1040"/>
          </w:tcPr>
          <w:p>
            <w:pPr>
              <w:jc w:val="center"/>
            </w:pPr>
            <w:r>
              <w:rPr>
                <w:b/>
                <w:sz w:val="16"/>
              </w:rPr>
              <w:t>E07 F1</w:t>
            </w:r>
          </w:p>
        </w:tc>
        <w:tc>
          <w:tcPr>
            <w:tcW w:type="dxa" w:w="1040"/>
          </w:tcPr>
          <w:p>
            <w:pPr>
              <w:jc w:val="center"/>
            </w:pPr>
            <w:r>
              <w:rPr>
                <w:b/>
                <w:sz w:val="16"/>
              </w:rPr>
              <w:t>E01 ACER</w:t>
            </w:r>
          </w:p>
        </w:tc>
        <w:tc>
          <w:tcPr>
            <w:tcW w:type="dxa" w:w="1040"/>
          </w:tcPr>
          <w:p>
            <w:pPr>
              <w:jc w:val="center"/>
            </w:pPr>
            <w:r>
              <w:rPr>
                <w:b/>
                <w:sz w:val="16"/>
              </w:rPr>
              <w:t>E07 ACER</w:t>
            </w:r>
          </w:p>
        </w:tc>
        <w:tc>
          <w:tcPr>
            <w:tcW w:type="dxa" w:w="1040"/>
          </w:tcPr>
          <w:p>
            <w:pPr>
              <w:jc w:val="center"/>
            </w:pPr>
            <w:r>
              <w:rPr>
                <w:b/>
                <w:sz w:val="16"/>
              </w:rPr>
              <w:t>E01 APCER</w:t>
            </w:r>
          </w:p>
        </w:tc>
        <w:tc>
          <w:tcPr>
            <w:tcW w:type="dxa" w:w="1040"/>
          </w:tcPr>
          <w:p>
            <w:pPr>
              <w:jc w:val="center"/>
            </w:pPr>
            <w:r>
              <w:rPr>
                <w:b/>
                <w:sz w:val="16"/>
              </w:rPr>
              <w:t>E07 APCER</w:t>
            </w:r>
          </w:p>
        </w:tc>
        <w:tc>
          <w:tcPr>
            <w:tcW w:type="dxa" w:w="1040"/>
          </w:tcPr>
          <w:p>
            <w:pPr>
              <w:jc w:val="center"/>
            </w:pPr>
            <w:r>
              <w:rPr>
                <w:b/>
                <w:sz w:val="16"/>
              </w:rPr>
              <w:t>E01 BPCER</w:t>
            </w:r>
          </w:p>
        </w:tc>
        <w:tc>
          <w:tcPr>
            <w:tcW w:type="dxa" w:w="1040"/>
          </w:tcPr>
          <w:p>
            <w:pPr>
              <w:jc w:val="center"/>
            </w:pPr>
            <w:r>
              <w:rPr>
                <w:b/>
                <w:sz w:val="16"/>
              </w:rPr>
              <w:t>E07 BPCER</w:t>
            </w:r>
          </w:p>
        </w:tc>
      </w:tr>
      <w:tr>
        <w:tc>
          <w:tcPr>
            <w:tcW w:type="dxa" w:w="1040"/>
          </w:tcPr>
          <w:p>
            <w:pPr>
              <w:jc w:val="left"/>
            </w:pPr>
            <w:r>
              <w:rPr>
                <w:sz w:val="16"/>
              </w:rPr>
              <w:t>jpeg</w:t>
            </w:r>
          </w:p>
        </w:tc>
        <w:tc>
          <w:tcPr>
            <w:tcW w:type="dxa" w:w="1040"/>
          </w:tcPr>
          <w:p>
            <w:pPr>
              <w:jc w:val="center"/>
            </w:pPr>
            <w:r>
              <w:rPr>
                <w:sz w:val="16"/>
              </w:rPr>
              <w:t>0.9507</w:t>
            </w:r>
          </w:p>
        </w:tc>
        <w:tc>
          <w:tcPr>
            <w:tcW w:type="dxa" w:w="1040"/>
          </w:tcPr>
          <w:p>
            <w:pPr>
              <w:jc w:val="center"/>
            </w:pPr>
            <w:r>
              <w:rPr>
                <w:sz w:val="16"/>
              </w:rPr>
              <w:t>0.9763</w:t>
            </w:r>
          </w:p>
        </w:tc>
        <w:tc>
          <w:tcPr>
            <w:tcW w:type="dxa" w:w="1040"/>
          </w:tcPr>
          <w:p>
            <w:pPr>
              <w:jc w:val="center"/>
            </w:pPr>
            <w:r>
              <w:rPr>
                <w:sz w:val="16"/>
              </w:rPr>
              <w:t>0.0513</w:t>
            </w:r>
          </w:p>
        </w:tc>
        <w:tc>
          <w:tcPr>
            <w:tcW w:type="dxa" w:w="1040"/>
          </w:tcPr>
          <w:p>
            <w:pPr>
              <w:jc w:val="center"/>
            </w:pPr>
            <w:r>
              <w:rPr>
                <w:sz w:val="16"/>
              </w:rPr>
              <w:t>0.0310</w:t>
            </w:r>
          </w:p>
        </w:tc>
        <w:tc>
          <w:tcPr>
            <w:tcW w:type="dxa" w:w="1040"/>
          </w:tcPr>
          <w:p>
            <w:pPr>
              <w:jc w:val="center"/>
            </w:pPr>
            <w:r>
              <w:rPr>
                <w:sz w:val="16"/>
              </w:rPr>
              <w:t>0.0810</w:t>
            </w:r>
          </w:p>
        </w:tc>
        <w:tc>
          <w:tcPr>
            <w:tcW w:type="dxa" w:w="1040"/>
          </w:tcPr>
          <w:p>
            <w:pPr>
              <w:jc w:val="center"/>
            </w:pPr>
            <w:r>
              <w:rPr>
                <w:sz w:val="16"/>
              </w:rPr>
              <w:t>0.0304</w:t>
            </w:r>
          </w:p>
        </w:tc>
        <w:tc>
          <w:tcPr>
            <w:tcW w:type="dxa" w:w="1040"/>
          </w:tcPr>
          <w:p>
            <w:pPr>
              <w:jc w:val="center"/>
            </w:pPr>
            <w:r>
              <w:rPr>
                <w:sz w:val="16"/>
              </w:rPr>
              <w:t>0.0216</w:t>
            </w:r>
          </w:p>
        </w:tc>
        <w:tc>
          <w:tcPr>
            <w:tcW w:type="dxa" w:w="1040"/>
          </w:tcPr>
          <w:p>
            <w:pPr>
              <w:jc w:val="center"/>
            </w:pPr>
            <w:r>
              <w:rPr>
                <w:sz w:val="16"/>
              </w:rPr>
              <w:t>0.0315</w:t>
            </w:r>
          </w:p>
        </w:tc>
      </w:tr>
      <w:tr>
        <w:tc>
          <w:tcPr>
            <w:tcW w:type="dxa" w:w="1040"/>
          </w:tcPr>
          <w:p>
            <w:pPr>
              <w:jc w:val="left"/>
            </w:pPr>
            <w:r>
              <w:rPr>
                <w:sz w:val="16"/>
              </w:rPr>
              <w:t>resize</w:t>
            </w:r>
          </w:p>
        </w:tc>
        <w:tc>
          <w:tcPr>
            <w:tcW w:type="dxa" w:w="1040"/>
          </w:tcPr>
          <w:p>
            <w:pPr>
              <w:jc w:val="center"/>
            </w:pPr>
            <w:r>
              <w:rPr>
                <w:sz w:val="16"/>
              </w:rPr>
              <w:t>0.9230</w:t>
            </w:r>
          </w:p>
        </w:tc>
        <w:tc>
          <w:tcPr>
            <w:tcW w:type="dxa" w:w="1040"/>
          </w:tcPr>
          <w:p>
            <w:pPr>
              <w:jc w:val="center"/>
            </w:pPr>
            <w:r>
              <w:rPr>
                <w:sz w:val="16"/>
              </w:rPr>
              <w:t>0.9764</w:t>
            </w:r>
          </w:p>
        </w:tc>
        <w:tc>
          <w:tcPr>
            <w:tcW w:type="dxa" w:w="1040"/>
          </w:tcPr>
          <w:p>
            <w:pPr>
              <w:jc w:val="center"/>
            </w:pPr>
            <w:r>
              <w:rPr>
                <w:sz w:val="16"/>
              </w:rPr>
              <w:t>0.1587</w:t>
            </w:r>
          </w:p>
        </w:tc>
        <w:tc>
          <w:tcPr>
            <w:tcW w:type="dxa" w:w="1040"/>
          </w:tcPr>
          <w:p>
            <w:pPr>
              <w:jc w:val="center"/>
            </w:pPr>
            <w:r>
              <w:rPr>
                <w:sz w:val="16"/>
              </w:rPr>
              <w:t>0.0389</w:t>
            </w:r>
          </w:p>
        </w:tc>
        <w:tc>
          <w:tcPr>
            <w:tcW w:type="dxa" w:w="1040"/>
          </w:tcPr>
          <w:p>
            <w:pPr>
              <w:jc w:val="center"/>
            </w:pPr>
            <w:r>
              <w:rPr>
                <w:sz w:val="16"/>
              </w:rPr>
              <w:t>0.0064</w:t>
            </w:r>
          </w:p>
        </w:tc>
        <w:tc>
          <w:tcPr>
            <w:tcW w:type="dxa" w:w="1040"/>
          </w:tcPr>
          <w:p>
            <w:pPr>
              <w:jc w:val="center"/>
            </w:pPr>
            <w:r>
              <w:rPr>
                <w:sz w:val="16"/>
              </w:rPr>
              <w:t>0.0141</w:t>
            </w:r>
          </w:p>
        </w:tc>
        <w:tc>
          <w:tcPr>
            <w:tcW w:type="dxa" w:w="1040"/>
          </w:tcPr>
          <w:p>
            <w:pPr>
              <w:jc w:val="center"/>
            </w:pPr>
            <w:r>
              <w:rPr>
                <w:sz w:val="16"/>
              </w:rPr>
              <w:t>0.3111</w:t>
            </w:r>
          </w:p>
        </w:tc>
        <w:tc>
          <w:tcPr>
            <w:tcW w:type="dxa" w:w="1040"/>
          </w:tcPr>
          <w:p>
            <w:pPr>
              <w:jc w:val="center"/>
            </w:pPr>
            <w:r>
              <w:rPr>
                <w:sz w:val="16"/>
              </w:rPr>
              <w:t>0.0637</w:t>
            </w:r>
          </w:p>
        </w:tc>
      </w:tr>
      <w:tr>
        <w:tc>
          <w:tcPr>
            <w:tcW w:type="dxa" w:w="1040"/>
          </w:tcPr>
          <w:p>
            <w:pPr>
              <w:jc w:val="left"/>
            </w:pPr>
            <w:r>
              <w:rPr>
                <w:sz w:val="16"/>
              </w:rPr>
              <w:t>blur</w:t>
            </w:r>
          </w:p>
        </w:tc>
        <w:tc>
          <w:tcPr>
            <w:tcW w:type="dxa" w:w="1040"/>
          </w:tcPr>
          <w:p>
            <w:pPr>
              <w:jc w:val="center"/>
            </w:pPr>
            <w:r>
              <w:rPr>
                <w:sz w:val="16"/>
              </w:rPr>
              <w:t>0.9080</w:t>
            </w:r>
          </w:p>
        </w:tc>
        <w:tc>
          <w:tcPr>
            <w:tcW w:type="dxa" w:w="1040"/>
          </w:tcPr>
          <w:p>
            <w:pPr>
              <w:jc w:val="center"/>
            </w:pPr>
            <w:r>
              <w:rPr>
                <w:sz w:val="16"/>
              </w:rPr>
              <w:t>0.9750</w:t>
            </w:r>
          </w:p>
        </w:tc>
        <w:tc>
          <w:tcPr>
            <w:tcW w:type="dxa" w:w="1040"/>
          </w:tcPr>
          <w:p>
            <w:pPr>
              <w:jc w:val="center"/>
            </w:pPr>
            <w:r>
              <w:rPr>
                <w:sz w:val="16"/>
              </w:rPr>
              <w:t>0.1948</w:t>
            </w:r>
          </w:p>
        </w:tc>
        <w:tc>
          <w:tcPr>
            <w:tcW w:type="dxa" w:w="1040"/>
          </w:tcPr>
          <w:p>
            <w:pPr>
              <w:jc w:val="center"/>
            </w:pPr>
            <w:r>
              <w:rPr>
                <w:sz w:val="16"/>
              </w:rPr>
              <w:t>0.0405</w:t>
            </w:r>
          </w:p>
        </w:tc>
        <w:tc>
          <w:tcPr>
            <w:tcW w:type="dxa" w:w="1040"/>
          </w:tcPr>
          <w:p>
            <w:pPr>
              <w:jc w:val="center"/>
            </w:pPr>
            <w:r>
              <w:rPr>
                <w:sz w:val="16"/>
              </w:rPr>
              <w:t>0.0070</w:t>
            </w:r>
          </w:p>
        </w:tc>
        <w:tc>
          <w:tcPr>
            <w:tcW w:type="dxa" w:w="1040"/>
          </w:tcPr>
          <w:p>
            <w:pPr>
              <w:jc w:val="center"/>
            </w:pPr>
            <w:r>
              <w:rPr>
                <w:sz w:val="16"/>
              </w:rPr>
              <w:t>0.0165</w:t>
            </w:r>
          </w:p>
        </w:tc>
        <w:tc>
          <w:tcPr>
            <w:tcW w:type="dxa" w:w="1040"/>
          </w:tcPr>
          <w:p>
            <w:pPr>
              <w:jc w:val="center"/>
            </w:pPr>
            <w:r>
              <w:rPr>
                <w:sz w:val="16"/>
              </w:rPr>
              <w:t>0.3825</w:t>
            </w:r>
          </w:p>
        </w:tc>
        <w:tc>
          <w:tcPr>
            <w:tcW w:type="dxa" w:w="1040"/>
          </w:tcPr>
          <w:p>
            <w:pPr>
              <w:jc w:val="center"/>
            </w:pPr>
            <w:r>
              <w:rPr>
                <w:sz w:val="16"/>
              </w:rPr>
              <w:t>0.0645</w:t>
            </w:r>
          </w:p>
        </w:tc>
      </w:tr>
      <w:tr>
        <w:tc>
          <w:tcPr>
            <w:tcW w:type="dxa" w:w="1040"/>
          </w:tcPr>
          <w:p>
            <w:pPr>
              <w:jc w:val="left"/>
            </w:pPr>
            <w:r>
              <w:rPr>
                <w:sz w:val="16"/>
              </w:rPr>
              <w:t>noise</w:t>
            </w:r>
          </w:p>
        </w:tc>
        <w:tc>
          <w:tcPr>
            <w:tcW w:type="dxa" w:w="1040"/>
          </w:tcPr>
          <w:p>
            <w:pPr>
              <w:jc w:val="center"/>
            </w:pPr>
            <w:r>
              <w:rPr>
                <w:sz w:val="16"/>
              </w:rPr>
              <w:t>0.9206</w:t>
            </w:r>
          </w:p>
        </w:tc>
        <w:tc>
          <w:tcPr>
            <w:tcW w:type="dxa" w:w="1040"/>
          </w:tcPr>
          <w:p>
            <w:pPr>
              <w:jc w:val="center"/>
            </w:pPr>
            <w:r>
              <w:rPr>
                <w:sz w:val="16"/>
              </w:rPr>
              <w:t>0.9814</w:t>
            </w:r>
          </w:p>
        </w:tc>
        <w:tc>
          <w:tcPr>
            <w:tcW w:type="dxa" w:w="1040"/>
          </w:tcPr>
          <w:p>
            <w:pPr>
              <w:jc w:val="center"/>
            </w:pPr>
            <w:r>
              <w:rPr>
                <w:sz w:val="16"/>
              </w:rPr>
              <w:t>0.0779</w:t>
            </w:r>
          </w:p>
        </w:tc>
        <w:tc>
          <w:tcPr>
            <w:tcW w:type="dxa" w:w="1040"/>
          </w:tcPr>
          <w:p>
            <w:pPr>
              <w:jc w:val="center"/>
            </w:pPr>
            <w:r>
              <w:rPr>
                <w:sz w:val="16"/>
              </w:rPr>
              <w:t>0.0271</w:t>
            </w:r>
          </w:p>
        </w:tc>
        <w:tc>
          <w:tcPr>
            <w:tcW w:type="dxa" w:w="1040"/>
          </w:tcPr>
          <w:p>
            <w:pPr>
              <w:jc w:val="center"/>
            </w:pPr>
            <w:r>
              <w:rPr>
                <w:sz w:val="16"/>
              </w:rPr>
              <w:t>0.1307</w:t>
            </w:r>
          </w:p>
        </w:tc>
        <w:tc>
          <w:tcPr>
            <w:tcW w:type="dxa" w:w="1040"/>
          </w:tcPr>
          <w:p>
            <w:pPr>
              <w:jc w:val="center"/>
            </w:pPr>
            <w:r>
              <w:rPr>
                <w:sz w:val="16"/>
              </w:rPr>
              <w:t>0.0185</w:t>
            </w:r>
          </w:p>
        </w:tc>
        <w:tc>
          <w:tcPr>
            <w:tcW w:type="dxa" w:w="1040"/>
          </w:tcPr>
          <w:p>
            <w:pPr>
              <w:jc w:val="center"/>
            </w:pPr>
            <w:r>
              <w:rPr>
                <w:sz w:val="16"/>
              </w:rPr>
              <w:t>0.0252</w:t>
            </w:r>
          </w:p>
        </w:tc>
        <w:tc>
          <w:tcPr>
            <w:tcW w:type="dxa" w:w="1040"/>
          </w:tcPr>
          <w:p>
            <w:pPr>
              <w:jc w:val="center"/>
            </w:pPr>
            <w:r>
              <w:rPr>
                <w:sz w:val="16"/>
              </w:rPr>
              <w:t>0.0357</w:t>
            </w:r>
          </w:p>
        </w:tc>
      </w:tr>
      <w:tr>
        <w:tc>
          <w:tcPr>
            <w:tcW w:type="dxa" w:w="1040"/>
          </w:tcPr>
          <w:p>
            <w:pPr>
              <w:jc w:val="left"/>
            </w:pPr>
            <w:r>
              <w:rPr>
                <w:sz w:val="16"/>
              </w:rPr>
              <w:t>brightness</w:t>
            </w:r>
          </w:p>
        </w:tc>
        <w:tc>
          <w:tcPr>
            <w:tcW w:type="dxa" w:w="1040"/>
          </w:tcPr>
          <w:p>
            <w:pPr>
              <w:jc w:val="center"/>
            </w:pPr>
            <w:r>
              <w:rPr>
                <w:sz w:val="16"/>
              </w:rPr>
              <w:t>0.9014</w:t>
            </w:r>
          </w:p>
        </w:tc>
        <w:tc>
          <w:tcPr>
            <w:tcW w:type="dxa" w:w="1040"/>
          </w:tcPr>
          <w:p>
            <w:pPr>
              <w:jc w:val="center"/>
            </w:pPr>
            <w:r>
              <w:rPr>
                <w:sz w:val="16"/>
              </w:rPr>
              <w:t>0.9616</w:t>
            </w:r>
          </w:p>
        </w:tc>
        <w:tc>
          <w:tcPr>
            <w:tcW w:type="dxa" w:w="1040"/>
          </w:tcPr>
          <w:p>
            <w:pPr>
              <w:jc w:val="center"/>
            </w:pPr>
            <w:r>
              <w:rPr>
                <w:sz w:val="16"/>
              </w:rPr>
              <w:t>0.1150</w:t>
            </w:r>
          </w:p>
        </w:tc>
        <w:tc>
          <w:tcPr>
            <w:tcW w:type="dxa" w:w="1040"/>
          </w:tcPr>
          <w:p>
            <w:pPr>
              <w:jc w:val="center"/>
            </w:pPr>
            <w:r>
              <w:rPr>
                <w:sz w:val="16"/>
              </w:rPr>
              <w:t>0.0603</w:t>
            </w:r>
          </w:p>
        </w:tc>
        <w:tc>
          <w:tcPr>
            <w:tcW w:type="dxa" w:w="1040"/>
          </w:tcPr>
          <w:p>
            <w:pPr>
              <w:jc w:val="center"/>
            </w:pPr>
            <w:r>
              <w:rPr>
                <w:sz w:val="16"/>
              </w:rPr>
              <w:t>0.1217</w:t>
            </w:r>
          </w:p>
        </w:tc>
        <w:tc>
          <w:tcPr>
            <w:tcW w:type="dxa" w:w="1040"/>
          </w:tcPr>
          <w:p>
            <w:pPr>
              <w:jc w:val="center"/>
            </w:pPr>
            <w:r>
              <w:rPr>
                <w:sz w:val="16"/>
              </w:rPr>
              <w:t>0.0304</w:t>
            </w:r>
          </w:p>
        </w:tc>
        <w:tc>
          <w:tcPr>
            <w:tcW w:type="dxa" w:w="1040"/>
          </w:tcPr>
          <w:p>
            <w:pPr>
              <w:jc w:val="center"/>
            </w:pPr>
            <w:r>
              <w:rPr>
                <w:sz w:val="16"/>
              </w:rPr>
              <w:t>0.1083</w:t>
            </w:r>
          </w:p>
        </w:tc>
        <w:tc>
          <w:tcPr>
            <w:tcW w:type="dxa" w:w="1040"/>
          </w:tcPr>
          <w:p>
            <w:pPr>
              <w:jc w:val="center"/>
            </w:pPr>
            <w:r>
              <w:rPr>
                <w:sz w:val="16"/>
              </w:rPr>
              <w:t>0.0902</w:t>
            </w:r>
          </w:p>
        </w:tc>
      </w:tr>
    </w:tbl>
    <w:p>
      <w:pPr>
        <w:pStyle w:val="Heading2"/>
      </w:pPr>
      <w:r>
        <w:t>5.5 Training Behavior and Discussion</w:t>
      </w:r>
    </w:p>
    <w:p>
      <w:pPr>
        <w:jc w:val="both"/>
      </w:pPr>
      <w:r>
        <w:rPr>
          <w:sz w:val="22"/>
        </w:rPr>
        <w:t>Table X lists the training and validation loss per epoch; Fig. 6 plots the curves. Training loss decreases monotonically for both models, and the best validation epoch is 18 for both E01 (0.0586) and E07 (0.0681); the retained best-epoch checkpoints are used for every reported metric.</w:t>
      </w:r>
    </w:p>
    <w:p>
      <w:pPr>
        <w:spacing w:after="160" w:before="40"/>
        <w:jc w:val="center"/>
      </w:pPr>
      <w:r>
        <w:rPr>
          <w:i/>
          <w:sz w:val="18"/>
        </w:rPr>
        <w:t>Table X. Training and validation loss per epoch.</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6"/>
              </w:rPr>
              <w:t>Epoch</w:t>
            </w:r>
          </w:p>
        </w:tc>
        <w:tc>
          <w:tcPr>
            <w:tcW w:type="dxa" w:w="1872"/>
          </w:tcPr>
          <w:p>
            <w:pPr>
              <w:jc w:val="center"/>
            </w:pPr>
            <w:r>
              <w:rPr>
                <w:b/>
                <w:sz w:val="16"/>
              </w:rPr>
              <w:t>E01 train</w:t>
            </w:r>
          </w:p>
        </w:tc>
        <w:tc>
          <w:tcPr>
            <w:tcW w:type="dxa" w:w="1872"/>
          </w:tcPr>
          <w:p>
            <w:pPr>
              <w:jc w:val="center"/>
            </w:pPr>
            <w:r>
              <w:rPr>
                <w:b/>
                <w:sz w:val="16"/>
              </w:rPr>
              <w:t>E01 val</w:t>
            </w:r>
          </w:p>
        </w:tc>
        <w:tc>
          <w:tcPr>
            <w:tcW w:type="dxa" w:w="1872"/>
          </w:tcPr>
          <w:p>
            <w:pPr>
              <w:jc w:val="center"/>
            </w:pPr>
            <w:r>
              <w:rPr>
                <w:b/>
                <w:sz w:val="16"/>
              </w:rPr>
              <w:t>E07 train</w:t>
            </w:r>
          </w:p>
        </w:tc>
        <w:tc>
          <w:tcPr>
            <w:tcW w:type="dxa" w:w="1872"/>
          </w:tcPr>
          <w:p>
            <w:pPr>
              <w:jc w:val="center"/>
            </w:pPr>
            <w:r>
              <w:rPr>
                <w:b/>
                <w:sz w:val="16"/>
              </w:rPr>
              <w:t>E07 val</w:t>
            </w:r>
          </w:p>
        </w:tc>
      </w:tr>
      <w:tr>
        <w:tc>
          <w:tcPr>
            <w:tcW w:type="dxa" w:w="1872"/>
          </w:tcPr>
          <w:p>
            <w:pPr>
              <w:jc w:val="left"/>
            </w:pPr>
            <w:r>
              <w:rPr>
                <w:sz w:val="16"/>
              </w:rPr>
              <w:t>1</w:t>
            </w:r>
          </w:p>
        </w:tc>
        <w:tc>
          <w:tcPr>
            <w:tcW w:type="dxa" w:w="1872"/>
          </w:tcPr>
          <w:p>
            <w:pPr>
              <w:jc w:val="center"/>
            </w:pPr>
            <w:r>
              <w:rPr>
                <w:sz w:val="16"/>
              </w:rPr>
              <w:t>0.2757</w:t>
            </w:r>
          </w:p>
        </w:tc>
        <w:tc>
          <w:tcPr>
            <w:tcW w:type="dxa" w:w="1872"/>
          </w:tcPr>
          <w:p>
            <w:pPr>
              <w:jc w:val="center"/>
            </w:pPr>
            <w:r>
              <w:rPr>
                <w:sz w:val="16"/>
              </w:rPr>
              <w:t>0.2065</w:t>
            </w:r>
          </w:p>
        </w:tc>
        <w:tc>
          <w:tcPr>
            <w:tcW w:type="dxa" w:w="1872"/>
          </w:tcPr>
          <w:p>
            <w:pPr>
              <w:jc w:val="center"/>
            </w:pPr>
            <w:r>
              <w:rPr>
                <w:sz w:val="16"/>
              </w:rPr>
              <w:t>0.3215</w:t>
            </w:r>
          </w:p>
        </w:tc>
        <w:tc>
          <w:tcPr>
            <w:tcW w:type="dxa" w:w="1872"/>
          </w:tcPr>
          <w:p>
            <w:pPr>
              <w:jc w:val="center"/>
            </w:pPr>
            <w:r>
              <w:rPr>
                <w:sz w:val="16"/>
              </w:rPr>
              <w:t>0.2267</w:t>
            </w:r>
          </w:p>
        </w:tc>
      </w:tr>
      <w:tr>
        <w:tc>
          <w:tcPr>
            <w:tcW w:type="dxa" w:w="1872"/>
          </w:tcPr>
          <w:p>
            <w:pPr>
              <w:jc w:val="left"/>
            </w:pPr>
            <w:r>
              <w:rPr>
                <w:sz w:val="16"/>
              </w:rPr>
              <w:t>2</w:t>
            </w:r>
          </w:p>
        </w:tc>
        <w:tc>
          <w:tcPr>
            <w:tcW w:type="dxa" w:w="1872"/>
          </w:tcPr>
          <w:p>
            <w:pPr>
              <w:jc w:val="center"/>
            </w:pPr>
            <w:r>
              <w:rPr>
                <w:sz w:val="16"/>
              </w:rPr>
              <w:t>0.1827</w:t>
            </w:r>
          </w:p>
        </w:tc>
        <w:tc>
          <w:tcPr>
            <w:tcW w:type="dxa" w:w="1872"/>
          </w:tcPr>
          <w:p>
            <w:pPr>
              <w:jc w:val="center"/>
            </w:pPr>
            <w:r>
              <w:rPr>
                <w:sz w:val="16"/>
              </w:rPr>
              <w:t>0.1487</w:t>
            </w:r>
          </w:p>
        </w:tc>
        <w:tc>
          <w:tcPr>
            <w:tcW w:type="dxa" w:w="1872"/>
          </w:tcPr>
          <w:p>
            <w:pPr>
              <w:jc w:val="center"/>
            </w:pPr>
            <w:r>
              <w:rPr>
                <w:sz w:val="16"/>
              </w:rPr>
              <w:t>0.2326</w:t>
            </w:r>
          </w:p>
        </w:tc>
        <w:tc>
          <w:tcPr>
            <w:tcW w:type="dxa" w:w="1872"/>
          </w:tcPr>
          <w:p>
            <w:pPr>
              <w:jc w:val="center"/>
            </w:pPr>
            <w:r>
              <w:rPr>
                <w:sz w:val="16"/>
              </w:rPr>
              <w:t>0.1644</w:t>
            </w:r>
          </w:p>
        </w:tc>
      </w:tr>
      <w:tr>
        <w:tc>
          <w:tcPr>
            <w:tcW w:type="dxa" w:w="1872"/>
          </w:tcPr>
          <w:p>
            <w:pPr>
              <w:jc w:val="left"/>
            </w:pPr>
            <w:r>
              <w:rPr>
                <w:sz w:val="16"/>
              </w:rPr>
              <w:t>3</w:t>
            </w:r>
          </w:p>
        </w:tc>
        <w:tc>
          <w:tcPr>
            <w:tcW w:type="dxa" w:w="1872"/>
          </w:tcPr>
          <w:p>
            <w:pPr>
              <w:jc w:val="center"/>
            </w:pPr>
            <w:r>
              <w:rPr>
                <w:sz w:val="16"/>
              </w:rPr>
              <w:t>0.1407</w:t>
            </w:r>
          </w:p>
        </w:tc>
        <w:tc>
          <w:tcPr>
            <w:tcW w:type="dxa" w:w="1872"/>
          </w:tcPr>
          <w:p>
            <w:pPr>
              <w:jc w:val="center"/>
            </w:pPr>
            <w:r>
              <w:rPr>
                <w:sz w:val="16"/>
              </w:rPr>
              <w:t>0.1260</w:t>
            </w:r>
          </w:p>
        </w:tc>
        <w:tc>
          <w:tcPr>
            <w:tcW w:type="dxa" w:w="1872"/>
          </w:tcPr>
          <w:p>
            <w:pPr>
              <w:jc w:val="center"/>
            </w:pPr>
            <w:r>
              <w:rPr>
                <w:sz w:val="16"/>
              </w:rPr>
              <w:t>0.1920</w:t>
            </w:r>
          </w:p>
        </w:tc>
        <w:tc>
          <w:tcPr>
            <w:tcW w:type="dxa" w:w="1872"/>
          </w:tcPr>
          <w:p>
            <w:pPr>
              <w:jc w:val="center"/>
            </w:pPr>
            <w:r>
              <w:rPr>
                <w:sz w:val="16"/>
              </w:rPr>
              <w:t>0.1434</w:t>
            </w:r>
          </w:p>
        </w:tc>
      </w:tr>
      <w:tr>
        <w:tc>
          <w:tcPr>
            <w:tcW w:type="dxa" w:w="1872"/>
          </w:tcPr>
          <w:p>
            <w:pPr>
              <w:jc w:val="left"/>
            </w:pPr>
            <w:r>
              <w:rPr>
                <w:sz w:val="16"/>
              </w:rPr>
              <w:t>4</w:t>
            </w:r>
          </w:p>
        </w:tc>
        <w:tc>
          <w:tcPr>
            <w:tcW w:type="dxa" w:w="1872"/>
          </w:tcPr>
          <w:p>
            <w:pPr>
              <w:jc w:val="center"/>
            </w:pPr>
            <w:r>
              <w:rPr>
                <w:sz w:val="16"/>
              </w:rPr>
              <w:t>0.1163</w:t>
            </w:r>
          </w:p>
        </w:tc>
        <w:tc>
          <w:tcPr>
            <w:tcW w:type="dxa" w:w="1872"/>
          </w:tcPr>
          <w:p>
            <w:pPr>
              <w:jc w:val="center"/>
            </w:pPr>
            <w:r>
              <w:rPr>
                <w:sz w:val="16"/>
              </w:rPr>
              <w:t>0.1130</w:t>
            </w:r>
          </w:p>
        </w:tc>
        <w:tc>
          <w:tcPr>
            <w:tcW w:type="dxa" w:w="1872"/>
          </w:tcPr>
          <w:p>
            <w:pPr>
              <w:jc w:val="center"/>
            </w:pPr>
            <w:r>
              <w:rPr>
                <w:sz w:val="16"/>
              </w:rPr>
              <w:t>0.1678</w:t>
            </w:r>
          </w:p>
        </w:tc>
        <w:tc>
          <w:tcPr>
            <w:tcW w:type="dxa" w:w="1872"/>
          </w:tcPr>
          <w:p>
            <w:pPr>
              <w:jc w:val="center"/>
            </w:pPr>
            <w:r>
              <w:rPr>
                <w:sz w:val="16"/>
              </w:rPr>
              <w:t>0.1343</w:t>
            </w:r>
          </w:p>
        </w:tc>
      </w:tr>
      <w:tr>
        <w:tc>
          <w:tcPr>
            <w:tcW w:type="dxa" w:w="1872"/>
          </w:tcPr>
          <w:p>
            <w:pPr>
              <w:jc w:val="left"/>
            </w:pPr>
            <w:r>
              <w:rPr>
                <w:sz w:val="16"/>
              </w:rPr>
              <w:t>5</w:t>
            </w:r>
          </w:p>
        </w:tc>
        <w:tc>
          <w:tcPr>
            <w:tcW w:type="dxa" w:w="1872"/>
          </w:tcPr>
          <w:p>
            <w:pPr>
              <w:jc w:val="center"/>
            </w:pPr>
            <w:r>
              <w:rPr>
                <w:sz w:val="16"/>
              </w:rPr>
              <w:t>0.0992</w:t>
            </w:r>
          </w:p>
        </w:tc>
        <w:tc>
          <w:tcPr>
            <w:tcW w:type="dxa" w:w="1872"/>
          </w:tcPr>
          <w:p>
            <w:pPr>
              <w:jc w:val="center"/>
            </w:pPr>
            <w:r>
              <w:rPr>
                <w:sz w:val="16"/>
              </w:rPr>
              <w:t>0.1089</w:t>
            </w:r>
          </w:p>
        </w:tc>
        <w:tc>
          <w:tcPr>
            <w:tcW w:type="dxa" w:w="1872"/>
          </w:tcPr>
          <w:p>
            <w:pPr>
              <w:jc w:val="center"/>
            </w:pPr>
            <w:r>
              <w:rPr>
                <w:sz w:val="16"/>
              </w:rPr>
              <w:t>0.1486</w:t>
            </w:r>
          </w:p>
        </w:tc>
        <w:tc>
          <w:tcPr>
            <w:tcW w:type="dxa" w:w="1872"/>
          </w:tcPr>
          <w:p>
            <w:pPr>
              <w:jc w:val="center"/>
            </w:pPr>
            <w:r>
              <w:rPr>
                <w:sz w:val="16"/>
              </w:rPr>
              <w:t>0.1329</w:t>
            </w:r>
          </w:p>
        </w:tc>
      </w:tr>
      <w:tr>
        <w:tc>
          <w:tcPr>
            <w:tcW w:type="dxa" w:w="1872"/>
          </w:tcPr>
          <w:p>
            <w:pPr>
              <w:jc w:val="left"/>
            </w:pPr>
            <w:r>
              <w:rPr>
                <w:sz w:val="16"/>
              </w:rPr>
              <w:t>6</w:t>
            </w:r>
          </w:p>
        </w:tc>
        <w:tc>
          <w:tcPr>
            <w:tcW w:type="dxa" w:w="1872"/>
          </w:tcPr>
          <w:p>
            <w:pPr>
              <w:jc w:val="center"/>
            </w:pPr>
            <w:r>
              <w:rPr>
                <w:sz w:val="16"/>
              </w:rPr>
              <w:t>0.0865</w:t>
            </w:r>
          </w:p>
        </w:tc>
        <w:tc>
          <w:tcPr>
            <w:tcW w:type="dxa" w:w="1872"/>
          </w:tcPr>
          <w:p>
            <w:pPr>
              <w:jc w:val="center"/>
            </w:pPr>
            <w:r>
              <w:rPr>
                <w:sz w:val="16"/>
              </w:rPr>
              <w:t>0.0908</w:t>
            </w:r>
          </w:p>
        </w:tc>
        <w:tc>
          <w:tcPr>
            <w:tcW w:type="dxa" w:w="1872"/>
          </w:tcPr>
          <w:p>
            <w:pPr>
              <w:jc w:val="center"/>
            </w:pPr>
            <w:r>
              <w:rPr>
                <w:sz w:val="16"/>
              </w:rPr>
              <w:t>0.1356</w:t>
            </w:r>
          </w:p>
        </w:tc>
        <w:tc>
          <w:tcPr>
            <w:tcW w:type="dxa" w:w="1872"/>
          </w:tcPr>
          <w:p>
            <w:pPr>
              <w:jc w:val="center"/>
            </w:pPr>
            <w:r>
              <w:rPr>
                <w:sz w:val="16"/>
              </w:rPr>
              <w:t>0.1030</w:t>
            </w:r>
          </w:p>
        </w:tc>
      </w:tr>
      <w:tr>
        <w:tc>
          <w:tcPr>
            <w:tcW w:type="dxa" w:w="1872"/>
          </w:tcPr>
          <w:p>
            <w:pPr>
              <w:jc w:val="left"/>
            </w:pPr>
            <w:r>
              <w:rPr>
                <w:sz w:val="16"/>
              </w:rPr>
              <w:t>7</w:t>
            </w:r>
          </w:p>
        </w:tc>
        <w:tc>
          <w:tcPr>
            <w:tcW w:type="dxa" w:w="1872"/>
          </w:tcPr>
          <w:p>
            <w:pPr>
              <w:jc w:val="center"/>
            </w:pPr>
            <w:r>
              <w:rPr>
                <w:sz w:val="16"/>
              </w:rPr>
              <w:t>0.0759</w:t>
            </w:r>
          </w:p>
        </w:tc>
        <w:tc>
          <w:tcPr>
            <w:tcW w:type="dxa" w:w="1872"/>
          </w:tcPr>
          <w:p>
            <w:pPr>
              <w:jc w:val="center"/>
            </w:pPr>
            <w:r>
              <w:rPr>
                <w:sz w:val="16"/>
              </w:rPr>
              <w:t>0.0786</w:t>
            </w:r>
          </w:p>
        </w:tc>
        <w:tc>
          <w:tcPr>
            <w:tcW w:type="dxa" w:w="1872"/>
          </w:tcPr>
          <w:p>
            <w:pPr>
              <w:jc w:val="center"/>
            </w:pPr>
            <w:r>
              <w:rPr>
                <w:sz w:val="16"/>
              </w:rPr>
              <w:t>0.1238</w:t>
            </w:r>
          </w:p>
        </w:tc>
        <w:tc>
          <w:tcPr>
            <w:tcW w:type="dxa" w:w="1872"/>
          </w:tcPr>
          <w:p>
            <w:pPr>
              <w:jc w:val="center"/>
            </w:pPr>
            <w:r>
              <w:rPr>
                <w:sz w:val="16"/>
              </w:rPr>
              <w:t>0.1004</w:t>
            </w:r>
          </w:p>
        </w:tc>
      </w:tr>
      <w:tr>
        <w:tc>
          <w:tcPr>
            <w:tcW w:type="dxa" w:w="1872"/>
          </w:tcPr>
          <w:p>
            <w:pPr>
              <w:jc w:val="left"/>
            </w:pPr>
            <w:r>
              <w:rPr>
                <w:sz w:val="16"/>
              </w:rPr>
              <w:t>8</w:t>
            </w:r>
          </w:p>
        </w:tc>
        <w:tc>
          <w:tcPr>
            <w:tcW w:type="dxa" w:w="1872"/>
          </w:tcPr>
          <w:p>
            <w:pPr>
              <w:jc w:val="center"/>
            </w:pPr>
            <w:r>
              <w:rPr>
                <w:sz w:val="16"/>
              </w:rPr>
              <w:t>0.0675</w:t>
            </w:r>
          </w:p>
        </w:tc>
        <w:tc>
          <w:tcPr>
            <w:tcW w:type="dxa" w:w="1872"/>
          </w:tcPr>
          <w:p>
            <w:pPr>
              <w:jc w:val="center"/>
            </w:pPr>
            <w:r>
              <w:rPr>
                <w:sz w:val="16"/>
              </w:rPr>
              <w:t>0.0756</w:t>
            </w:r>
          </w:p>
        </w:tc>
        <w:tc>
          <w:tcPr>
            <w:tcW w:type="dxa" w:w="1872"/>
          </w:tcPr>
          <w:p>
            <w:pPr>
              <w:jc w:val="center"/>
            </w:pPr>
            <w:r>
              <w:rPr>
                <w:sz w:val="16"/>
              </w:rPr>
              <w:t>0.1143</w:t>
            </w:r>
          </w:p>
        </w:tc>
        <w:tc>
          <w:tcPr>
            <w:tcW w:type="dxa" w:w="1872"/>
          </w:tcPr>
          <w:p>
            <w:pPr>
              <w:jc w:val="center"/>
            </w:pPr>
            <w:r>
              <w:rPr>
                <w:sz w:val="16"/>
              </w:rPr>
              <w:t>0.0899</w:t>
            </w:r>
          </w:p>
        </w:tc>
      </w:tr>
      <w:tr>
        <w:tc>
          <w:tcPr>
            <w:tcW w:type="dxa" w:w="1872"/>
          </w:tcPr>
          <w:p>
            <w:pPr>
              <w:jc w:val="left"/>
            </w:pPr>
            <w:r>
              <w:rPr>
                <w:sz w:val="16"/>
              </w:rPr>
              <w:t>9</w:t>
            </w:r>
          </w:p>
        </w:tc>
        <w:tc>
          <w:tcPr>
            <w:tcW w:type="dxa" w:w="1872"/>
          </w:tcPr>
          <w:p>
            <w:pPr>
              <w:jc w:val="center"/>
            </w:pPr>
            <w:r>
              <w:rPr>
                <w:sz w:val="16"/>
              </w:rPr>
              <w:t>0.0601</w:t>
            </w:r>
          </w:p>
        </w:tc>
        <w:tc>
          <w:tcPr>
            <w:tcW w:type="dxa" w:w="1872"/>
          </w:tcPr>
          <w:p>
            <w:pPr>
              <w:jc w:val="center"/>
            </w:pPr>
            <w:r>
              <w:rPr>
                <w:sz w:val="16"/>
              </w:rPr>
              <w:t>0.0696</w:t>
            </w:r>
          </w:p>
        </w:tc>
        <w:tc>
          <w:tcPr>
            <w:tcW w:type="dxa" w:w="1872"/>
          </w:tcPr>
          <w:p>
            <w:pPr>
              <w:jc w:val="center"/>
            </w:pPr>
            <w:r>
              <w:rPr>
                <w:sz w:val="16"/>
              </w:rPr>
              <w:t>0.1059</w:t>
            </w:r>
          </w:p>
        </w:tc>
        <w:tc>
          <w:tcPr>
            <w:tcW w:type="dxa" w:w="1872"/>
          </w:tcPr>
          <w:p>
            <w:pPr>
              <w:jc w:val="center"/>
            </w:pPr>
            <w:r>
              <w:rPr>
                <w:sz w:val="16"/>
              </w:rPr>
              <w:t>0.0845</w:t>
            </w:r>
          </w:p>
        </w:tc>
      </w:tr>
      <w:tr>
        <w:tc>
          <w:tcPr>
            <w:tcW w:type="dxa" w:w="1872"/>
          </w:tcPr>
          <w:p>
            <w:pPr>
              <w:jc w:val="left"/>
            </w:pPr>
            <w:r>
              <w:rPr>
                <w:sz w:val="16"/>
              </w:rPr>
              <w:t>10</w:t>
            </w:r>
          </w:p>
        </w:tc>
        <w:tc>
          <w:tcPr>
            <w:tcW w:type="dxa" w:w="1872"/>
          </w:tcPr>
          <w:p>
            <w:pPr>
              <w:jc w:val="center"/>
            </w:pPr>
            <w:r>
              <w:rPr>
                <w:sz w:val="16"/>
              </w:rPr>
              <w:t>0.0550</w:t>
            </w:r>
          </w:p>
        </w:tc>
        <w:tc>
          <w:tcPr>
            <w:tcW w:type="dxa" w:w="1872"/>
          </w:tcPr>
          <w:p>
            <w:pPr>
              <w:jc w:val="center"/>
            </w:pPr>
            <w:r>
              <w:rPr>
                <w:sz w:val="16"/>
              </w:rPr>
              <w:t>0.0731</w:t>
            </w:r>
          </w:p>
        </w:tc>
        <w:tc>
          <w:tcPr>
            <w:tcW w:type="dxa" w:w="1872"/>
          </w:tcPr>
          <w:p>
            <w:pPr>
              <w:jc w:val="center"/>
            </w:pPr>
            <w:r>
              <w:rPr>
                <w:sz w:val="16"/>
              </w:rPr>
              <w:t>0.1005</w:t>
            </w:r>
          </w:p>
        </w:tc>
        <w:tc>
          <w:tcPr>
            <w:tcW w:type="dxa" w:w="1872"/>
          </w:tcPr>
          <w:p>
            <w:pPr>
              <w:jc w:val="center"/>
            </w:pPr>
            <w:r>
              <w:rPr>
                <w:sz w:val="16"/>
              </w:rPr>
              <w:t>0.0966</w:t>
            </w:r>
          </w:p>
        </w:tc>
      </w:tr>
      <w:tr>
        <w:tc>
          <w:tcPr>
            <w:tcW w:type="dxa" w:w="1872"/>
          </w:tcPr>
          <w:p>
            <w:pPr>
              <w:jc w:val="left"/>
            </w:pPr>
            <w:r>
              <w:rPr>
                <w:sz w:val="16"/>
              </w:rPr>
              <w:t>11</w:t>
            </w:r>
          </w:p>
        </w:tc>
        <w:tc>
          <w:tcPr>
            <w:tcW w:type="dxa" w:w="1872"/>
          </w:tcPr>
          <w:p>
            <w:pPr>
              <w:jc w:val="center"/>
            </w:pPr>
            <w:r>
              <w:rPr>
                <w:sz w:val="16"/>
              </w:rPr>
              <w:t>0.0486</w:t>
            </w:r>
          </w:p>
        </w:tc>
        <w:tc>
          <w:tcPr>
            <w:tcW w:type="dxa" w:w="1872"/>
          </w:tcPr>
          <w:p>
            <w:pPr>
              <w:jc w:val="center"/>
            </w:pPr>
            <w:r>
              <w:rPr>
                <w:sz w:val="16"/>
              </w:rPr>
              <w:t>0.0678</w:t>
            </w:r>
          </w:p>
        </w:tc>
        <w:tc>
          <w:tcPr>
            <w:tcW w:type="dxa" w:w="1872"/>
          </w:tcPr>
          <w:p>
            <w:pPr>
              <w:jc w:val="center"/>
            </w:pPr>
            <w:r>
              <w:rPr>
                <w:sz w:val="16"/>
              </w:rPr>
              <w:t>0.0952</w:t>
            </w:r>
          </w:p>
        </w:tc>
        <w:tc>
          <w:tcPr>
            <w:tcW w:type="dxa" w:w="1872"/>
          </w:tcPr>
          <w:p>
            <w:pPr>
              <w:jc w:val="center"/>
            </w:pPr>
            <w:r>
              <w:rPr>
                <w:sz w:val="16"/>
              </w:rPr>
              <w:t>0.0874</w:t>
            </w:r>
          </w:p>
        </w:tc>
      </w:tr>
      <w:tr>
        <w:tc>
          <w:tcPr>
            <w:tcW w:type="dxa" w:w="1872"/>
          </w:tcPr>
          <w:p>
            <w:pPr>
              <w:jc w:val="left"/>
            </w:pPr>
            <w:r>
              <w:rPr>
                <w:sz w:val="16"/>
              </w:rPr>
              <w:t>12</w:t>
            </w:r>
          </w:p>
        </w:tc>
        <w:tc>
          <w:tcPr>
            <w:tcW w:type="dxa" w:w="1872"/>
          </w:tcPr>
          <w:p>
            <w:pPr>
              <w:jc w:val="center"/>
            </w:pPr>
            <w:r>
              <w:rPr>
                <w:sz w:val="16"/>
              </w:rPr>
              <w:t>0.0441</w:t>
            </w:r>
          </w:p>
        </w:tc>
        <w:tc>
          <w:tcPr>
            <w:tcW w:type="dxa" w:w="1872"/>
          </w:tcPr>
          <w:p>
            <w:pPr>
              <w:jc w:val="center"/>
            </w:pPr>
            <w:r>
              <w:rPr>
                <w:sz w:val="16"/>
              </w:rPr>
              <w:t>0.0639</w:t>
            </w:r>
          </w:p>
        </w:tc>
        <w:tc>
          <w:tcPr>
            <w:tcW w:type="dxa" w:w="1872"/>
          </w:tcPr>
          <w:p>
            <w:pPr>
              <w:jc w:val="center"/>
            </w:pPr>
            <w:r>
              <w:rPr>
                <w:sz w:val="16"/>
              </w:rPr>
              <w:t>0.0872</w:t>
            </w:r>
          </w:p>
        </w:tc>
        <w:tc>
          <w:tcPr>
            <w:tcW w:type="dxa" w:w="1872"/>
          </w:tcPr>
          <w:p>
            <w:pPr>
              <w:jc w:val="center"/>
            </w:pPr>
            <w:r>
              <w:rPr>
                <w:sz w:val="16"/>
              </w:rPr>
              <w:t>0.0852</w:t>
            </w:r>
          </w:p>
        </w:tc>
      </w:tr>
      <w:tr>
        <w:tc>
          <w:tcPr>
            <w:tcW w:type="dxa" w:w="1872"/>
          </w:tcPr>
          <w:p>
            <w:pPr>
              <w:jc w:val="left"/>
            </w:pPr>
            <w:r>
              <w:rPr>
                <w:sz w:val="16"/>
              </w:rPr>
              <w:t>13</w:t>
            </w:r>
          </w:p>
        </w:tc>
        <w:tc>
          <w:tcPr>
            <w:tcW w:type="dxa" w:w="1872"/>
          </w:tcPr>
          <w:p>
            <w:pPr>
              <w:jc w:val="center"/>
            </w:pPr>
            <w:r>
              <w:rPr>
                <w:sz w:val="16"/>
              </w:rPr>
              <w:t>0.0405</w:t>
            </w:r>
          </w:p>
        </w:tc>
        <w:tc>
          <w:tcPr>
            <w:tcW w:type="dxa" w:w="1872"/>
          </w:tcPr>
          <w:p>
            <w:pPr>
              <w:jc w:val="center"/>
            </w:pPr>
            <w:r>
              <w:rPr>
                <w:sz w:val="16"/>
              </w:rPr>
              <w:t>0.0714</w:t>
            </w:r>
          </w:p>
        </w:tc>
        <w:tc>
          <w:tcPr>
            <w:tcW w:type="dxa" w:w="1872"/>
          </w:tcPr>
          <w:p>
            <w:pPr>
              <w:jc w:val="center"/>
            </w:pPr>
            <w:r>
              <w:rPr>
                <w:sz w:val="16"/>
              </w:rPr>
              <w:t>0.0820</w:t>
            </w:r>
          </w:p>
        </w:tc>
        <w:tc>
          <w:tcPr>
            <w:tcW w:type="dxa" w:w="1872"/>
          </w:tcPr>
          <w:p>
            <w:pPr>
              <w:jc w:val="center"/>
            </w:pPr>
            <w:r>
              <w:rPr>
                <w:sz w:val="16"/>
              </w:rPr>
              <w:t>0.0918</w:t>
            </w:r>
          </w:p>
        </w:tc>
      </w:tr>
      <w:tr>
        <w:tc>
          <w:tcPr>
            <w:tcW w:type="dxa" w:w="1872"/>
          </w:tcPr>
          <w:p>
            <w:pPr>
              <w:jc w:val="left"/>
            </w:pPr>
            <w:r>
              <w:rPr>
                <w:sz w:val="16"/>
              </w:rPr>
              <w:t>14</w:t>
            </w:r>
          </w:p>
        </w:tc>
        <w:tc>
          <w:tcPr>
            <w:tcW w:type="dxa" w:w="1872"/>
          </w:tcPr>
          <w:p>
            <w:pPr>
              <w:jc w:val="center"/>
            </w:pPr>
            <w:r>
              <w:rPr>
                <w:sz w:val="16"/>
              </w:rPr>
              <w:t>0.0362</w:t>
            </w:r>
          </w:p>
        </w:tc>
        <w:tc>
          <w:tcPr>
            <w:tcW w:type="dxa" w:w="1872"/>
          </w:tcPr>
          <w:p>
            <w:pPr>
              <w:jc w:val="center"/>
            </w:pPr>
            <w:r>
              <w:rPr>
                <w:sz w:val="16"/>
              </w:rPr>
              <w:t>0.0673</w:t>
            </w:r>
          </w:p>
        </w:tc>
        <w:tc>
          <w:tcPr>
            <w:tcW w:type="dxa" w:w="1872"/>
          </w:tcPr>
          <w:p>
            <w:pPr>
              <w:jc w:val="center"/>
            </w:pPr>
            <w:r>
              <w:rPr>
                <w:sz w:val="16"/>
              </w:rPr>
              <w:t>0.0782</w:t>
            </w:r>
          </w:p>
        </w:tc>
        <w:tc>
          <w:tcPr>
            <w:tcW w:type="dxa" w:w="1872"/>
          </w:tcPr>
          <w:p>
            <w:pPr>
              <w:jc w:val="center"/>
            </w:pPr>
            <w:r>
              <w:rPr>
                <w:sz w:val="16"/>
              </w:rPr>
              <w:t>0.0921</w:t>
            </w:r>
          </w:p>
        </w:tc>
      </w:tr>
      <w:tr>
        <w:tc>
          <w:tcPr>
            <w:tcW w:type="dxa" w:w="1872"/>
          </w:tcPr>
          <w:p>
            <w:pPr>
              <w:jc w:val="left"/>
            </w:pPr>
            <w:r>
              <w:rPr>
                <w:sz w:val="16"/>
              </w:rPr>
              <w:t>15</w:t>
            </w:r>
          </w:p>
        </w:tc>
        <w:tc>
          <w:tcPr>
            <w:tcW w:type="dxa" w:w="1872"/>
          </w:tcPr>
          <w:p>
            <w:pPr>
              <w:jc w:val="center"/>
            </w:pPr>
            <w:r>
              <w:rPr>
                <w:sz w:val="16"/>
              </w:rPr>
              <w:t>0.0342</w:t>
            </w:r>
          </w:p>
        </w:tc>
        <w:tc>
          <w:tcPr>
            <w:tcW w:type="dxa" w:w="1872"/>
          </w:tcPr>
          <w:p>
            <w:pPr>
              <w:jc w:val="center"/>
            </w:pPr>
            <w:r>
              <w:rPr>
                <w:sz w:val="16"/>
              </w:rPr>
              <w:t>0.0628</w:t>
            </w:r>
          </w:p>
        </w:tc>
        <w:tc>
          <w:tcPr>
            <w:tcW w:type="dxa" w:w="1872"/>
          </w:tcPr>
          <w:p>
            <w:pPr>
              <w:jc w:val="center"/>
            </w:pPr>
            <w:r>
              <w:rPr>
                <w:sz w:val="16"/>
              </w:rPr>
              <w:t>0.0756</w:t>
            </w:r>
          </w:p>
        </w:tc>
        <w:tc>
          <w:tcPr>
            <w:tcW w:type="dxa" w:w="1872"/>
          </w:tcPr>
          <w:p>
            <w:pPr>
              <w:jc w:val="center"/>
            </w:pPr>
            <w:r>
              <w:rPr>
                <w:sz w:val="16"/>
              </w:rPr>
              <w:t>0.0715</w:t>
            </w:r>
          </w:p>
        </w:tc>
      </w:tr>
      <w:tr>
        <w:tc>
          <w:tcPr>
            <w:tcW w:type="dxa" w:w="1872"/>
          </w:tcPr>
          <w:p>
            <w:pPr>
              <w:jc w:val="left"/>
            </w:pPr>
            <w:r>
              <w:rPr>
                <w:sz w:val="16"/>
              </w:rPr>
              <w:t>16</w:t>
            </w:r>
          </w:p>
        </w:tc>
        <w:tc>
          <w:tcPr>
            <w:tcW w:type="dxa" w:w="1872"/>
          </w:tcPr>
          <w:p>
            <w:pPr>
              <w:jc w:val="center"/>
            </w:pPr>
            <w:r>
              <w:rPr>
                <w:sz w:val="16"/>
              </w:rPr>
              <w:t>0.0310</w:t>
            </w:r>
          </w:p>
        </w:tc>
        <w:tc>
          <w:tcPr>
            <w:tcW w:type="dxa" w:w="1872"/>
          </w:tcPr>
          <w:p>
            <w:pPr>
              <w:jc w:val="center"/>
            </w:pPr>
            <w:r>
              <w:rPr>
                <w:sz w:val="16"/>
              </w:rPr>
              <w:t>0.0654</w:t>
            </w:r>
          </w:p>
        </w:tc>
        <w:tc>
          <w:tcPr>
            <w:tcW w:type="dxa" w:w="1872"/>
          </w:tcPr>
          <w:p>
            <w:pPr>
              <w:jc w:val="center"/>
            </w:pPr>
            <w:r>
              <w:rPr>
                <w:sz w:val="16"/>
              </w:rPr>
              <w:t>0.0718</w:t>
            </w:r>
          </w:p>
        </w:tc>
        <w:tc>
          <w:tcPr>
            <w:tcW w:type="dxa" w:w="1872"/>
          </w:tcPr>
          <w:p>
            <w:pPr>
              <w:jc w:val="center"/>
            </w:pPr>
            <w:r>
              <w:rPr>
                <w:sz w:val="16"/>
              </w:rPr>
              <w:t>0.0716</w:t>
            </w:r>
          </w:p>
        </w:tc>
      </w:tr>
      <w:tr>
        <w:tc>
          <w:tcPr>
            <w:tcW w:type="dxa" w:w="1872"/>
          </w:tcPr>
          <w:p>
            <w:pPr>
              <w:jc w:val="left"/>
            </w:pPr>
            <w:r>
              <w:rPr>
                <w:sz w:val="16"/>
              </w:rPr>
              <w:t>17</w:t>
            </w:r>
          </w:p>
        </w:tc>
        <w:tc>
          <w:tcPr>
            <w:tcW w:type="dxa" w:w="1872"/>
          </w:tcPr>
          <w:p>
            <w:pPr>
              <w:jc w:val="center"/>
            </w:pPr>
            <w:r>
              <w:rPr>
                <w:sz w:val="16"/>
              </w:rPr>
              <w:t>0.0282</w:t>
            </w:r>
          </w:p>
        </w:tc>
        <w:tc>
          <w:tcPr>
            <w:tcW w:type="dxa" w:w="1872"/>
          </w:tcPr>
          <w:p>
            <w:pPr>
              <w:jc w:val="center"/>
            </w:pPr>
            <w:r>
              <w:rPr>
                <w:sz w:val="16"/>
              </w:rPr>
              <w:t>0.0636</w:t>
            </w:r>
          </w:p>
        </w:tc>
        <w:tc>
          <w:tcPr>
            <w:tcW w:type="dxa" w:w="1872"/>
          </w:tcPr>
          <w:p>
            <w:pPr>
              <w:jc w:val="center"/>
            </w:pPr>
            <w:r>
              <w:rPr>
                <w:sz w:val="16"/>
              </w:rPr>
              <w:t>0.0675</w:t>
            </w:r>
          </w:p>
        </w:tc>
        <w:tc>
          <w:tcPr>
            <w:tcW w:type="dxa" w:w="1872"/>
          </w:tcPr>
          <w:p>
            <w:pPr>
              <w:jc w:val="center"/>
            </w:pPr>
            <w:r>
              <w:rPr>
                <w:sz w:val="16"/>
              </w:rPr>
              <w:t>0.0733</w:t>
            </w:r>
          </w:p>
        </w:tc>
      </w:tr>
      <w:tr>
        <w:tc>
          <w:tcPr>
            <w:tcW w:type="dxa" w:w="1872"/>
          </w:tcPr>
          <w:p>
            <w:pPr>
              <w:jc w:val="left"/>
            </w:pPr>
            <w:r>
              <w:rPr>
                <w:sz w:val="16"/>
              </w:rPr>
              <w:t>18</w:t>
            </w:r>
          </w:p>
        </w:tc>
        <w:tc>
          <w:tcPr>
            <w:tcW w:type="dxa" w:w="1872"/>
          </w:tcPr>
          <w:p>
            <w:pPr>
              <w:jc w:val="center"/>
            </w:pPr>
            <w:r>
              <w:rPr>
                <w:sz w:val="16"/>
              </w:rPr>
              <w:t>0.0265</w:t>
            </w:r>
          </w:p>
        </w:tc>
        <w:tc>
          <w:tcPr>
            <w:tcW w:type="dxa" w:w="1872"/>
          </w:tcPr>
          <w:p>
            <w:pPr>
              <w:jc w:val="center"/>
            </w:pPr>
            <w:r>
              <w:rPr>
                <w:sz w:val="16"/>
              </w:rPr>
              <w:t>0.0586</w:t>
            </w:r>
          </w:p>
        </w:tc>
        <w:tc>
          <w:tcPr>
            <w:tcW w:type="dxa" w:w="1872"/>
          </w:tcPr>
          <w:p>
            <w:pPr>
              <w:jc w:val="center"/>
            </w:pPr>
            <w:r>
              <w:rPr>
                <w:sz w:val="16"/>
              </w:rPr>
              <w:t>0.0651</w:t>
            </w:r>
          </w:p>
        </w:tc>
        <w:tc>
          <w:tcPr>
            <w:tcW w:type="dxa" w:w="1872"/>
          </w:tcPr>
          <w:p>
            <w:pPr>
              <w:jc w:val="center"/>
            </w:pPr>
            <w:r>
              <w:rPr>
                <w:sz w:val="16"/>
              </w:rPr>
              <w:t>0.0681</w:t>
            </w:r>
          </w:p>
        </w:tc>
      </w:tr>
      <w:tr>
        <w:tc>
          <w:tcPr>
            <w:tcW w:type="dxa" w:w="1872"/>
          </w:tcPr>
          <w:p>
            <w:pPr>
              <w:jc w:val="left"/>
            </w:pPr>
            <w:r>
              <w:rPr>
                <w:sz w:val="16"/>
              </w:rPr>
              <w:t>19</w:t>
            </w:r>
          </w:p>
        </w:tc>
        <w:tc>
          <w:tcPr>
            <w:tcW w:type="dxa" w:w="1872"/>
          </w:tcPr>
          <w:p>
            <w:pPr>
              <w:jc w:val="center"/>
            </w:pPr>
            <w:r>
              <w:rPr>
                <w:sz w:val="16"/>
              </w:rPr>
              <w:t>0.0258</w:t>
            </w:r>
          </w:p>
        </w:tc>
        <w:tc>
          <w:tcPr>
            <w:tcW w:type="dxa" w:w="1872"/>
          </w:tcPr>
          <w:p>
            <w:pPr>
              <w:jc w:val="center"/>
            </w:pPr>
            <w:r>
              <w:rPr>
                <w:sz w:val="16"/>
              </w:rPr>
              <w:t>0.0601</w:t>
            </w:r>
          </w:p>
        </w:tc>
        <w:tc>
          <w:tcPr>
            <w:tcW w:type="dxa" w:w="1872"/>
          </w:tcPr>
          <w:p>
            <w:pPr>
              <w:jc w:val="center"/>
            </w:pPr>
            <w:r>
              <w:rPr>
                <w:sz w:val="16"/>
              </w:rPr>
              <w:t>0.0610</w:t>
            </w:r>
          </w:p>
        </w:tc>
        <w:tc>
          <w:tcPr>
            <w:tcW w:type="dxa" w:w="1872"/>
          </w:tcPr>
          <w:p>
            <w:pPr>
              <w:jc w:val="center"/>
            </w:pPr>
            <w:r>
              <w:rPr>
                <w:sz w:val="16"/>
              </w:rPr>
              <w:t>0.0735</w:t>
            </w:r>
          </w:p>
        </w:tc>
      </w:tr>
      <w:tr>
        <w:tc>
          <w:tcPr>
            <w:tcW w:type="dxa" w:w="1872"/>
          </w:tcPr>
          <w:p>
            <w:pPr>
              <w:jc w:val="left"/>
            </w:pPr>
            <w:r>
              <w:rPr>
                <w:sz w:val="16"/>
              </w:rPr>
              <w:t>20</w:t>
            </w:r>
          </w:p>
        </w:tc>
        <w:tc>
          <w:tcPr>
            <w:tcW w:type="dxa" w:w="1872"/>
          </w:tcPr>
          <w:p>
            <w:pPr>
              <w:jc w:val="center"/>
            </w:pPr>
            <w:r>
              <w:rPr>
                <w:sz w:val="16"/>
              </w:rPr>
              <w:t>0.0234</w:t>
            </w:r>
          </w:p>
        </w:tc>
        <w:tc>
          <w:tcPr>
            <w:tcW w:type="dxa" w:w="1872"/>
          </w:tcPr>
          <w:p>
            <w:pPr>
              <w:jc w:val="center"/>
            </w:pPr>
            <w:r>
              <w:rPr>
                <w:sz w:val="16"/>
              </w:rPr>
              <w:t>0.0636</w:t>
            </w:r>
          </w:p>
        </w:tc>
        <w:tc>
          <w:tcPr>
            <w:tcW w:type="dxa" w:w="1872"/>
          </w:tcPr>
          <w:p>
            <w:pPr>
              <w:jc w:val="center"/>
            </w:pPr>
            <w:r>
              <w:rPr>
                <w:sz w:val="16"/>
              </w:rPr>
              <w:t>0.0592</w:t>
            </w:r>
          </w:p>
        </w:tc>
        <w:tc>
          <w:tcPr>
            <w:tcW w:type="dxa" w:w="1872"/>
          </w:tcPr>
          <w:p>
            <w:pPr>
              <w:jc w:val="center"/>
            </w:pPr>
            <w:r>
              <w:rPr>
                <w:sz w:val="16"/>
              </w:rPr>
              <w:t>0.0719</w:t>
            </w:r>
          </w:p>
        </w:tc>
      </w:tr>
    </w:tbl>
    <w:p>
      <w:pPr>
        <w:spacing w:after="0"/>
        <w:jc w:val="center"/>
      </w:pPr>
      <w:r>
        <w:drawing>
          <wp:inline xmlns:a="http://schemas.openxmlformats.org/drawingml/2006/main" xmlns:pic="http://schemas.openxmlformats.org/drawingml/2006/picture">
            <wp:extent cx="3474720" cy="2105017"/>
            <wp:docPr id="6" name="Picture 6"/>
            <wp:cNvGraphicFramePr>
              <a:graphicFrameLocks noChangeAspect="1"/>
            </wp:cNvGraphicFramePr>
            <a:graphic>
              <a:graphicData uri="http://schemas.openxmlformats.org/drawingml/2006/picture">
                <pic:pic>
                  <pic:nvPicPr>
                    <pic:cNvPr id="0" name="fig6_loss_curves.png"/>
                    <pic:cNvPicPr/>
                  </pic:nvPicPr>
                  <pic:blipFill>
                    <a:blip r:embed="rId14"/>
                    <a:stretch>
                      <a:fillRect/>
                    </a:stretch>
                  </pic:blipFill>
                  <pic:spPr>
                    <a:xfrm>
                      <a:off x="0" y="0"/>
                      <a:ext cx="3474720" cy="2105017"/>
                    </a:xfrm>
                    <a:prstGeom prst="rect"/>
                  </pic:spPr>
                </pic:pic>
              </a:graphicData>
            </a:graphic>
          </wp:inline>
        </w:drawing>
      </w:r>
    </w:p>
    <w:p>
      <w:pPr>
        <w:spacing w:after="160" w:before="40"/>
        <w:jc w:val="center"/>
      </w:pPr>
      <w:r>
        <w:rPr>
          <w:i/>
          <w:sz w:val="18"/>
        </w:rPr>
        <w:t>Fig. 6. Training and validation loss per epoch; best validation epoch 18 for both models (E01 0.0586, E07 0.0681).</w:t>
      </w:r>
    </w:p>
    <w:p>
      <w:pPr>
        <w:jc w:val="both"/>
      </w:pPr>
      <w:r>
        <w:rPr>
          <w:sz w:val="22"/>
        </w:rPr>
        <w:t>The results are consistent with the hypothesis that quality-augmented training encourages features less dependent on fine, quality-sensitive image statistics: the largest gains occur at the most severe levels of blur, resize, brightness, and noise — the conditions where the baseline loses the most — while clean-test performance is essentially unchanged. The measured performance differences are demonstrated by the experiments; the feature-level explanation itself remains a hypothesis. Two further observations follow from Table VI. First, fixed-threshold F1 can mask ranking collapse: under resize and blur the baseline's F1 falls slowly while ROC-AUC drops sharply and BPCER rises, so PAD evaluations should report AUC and both error rates. Second, after robust training the residual gap is largest at dark illumination, indicating that augmentation alone does not fully equalize all conditions.</w:t>
      </w:r>
    </w:p>
    <w:p>
      <w:pPr>
        <w:pStyle w:val="Heading1"/>
      </w:pPr>
      <w:r>
        <w:t>6. Limitations</w:t>
      </w:r>
    </w:p>
    <w:p>
      <w:pPr>
        <w:jc w:val="both"/>
      </w:pPr>
      <w:r>
        <w:rPr>
          <w:sz w:val="22"/>
        </w:rPr>
        <w:t>(1) Only binary live/spoof labels are available in the dataset mirror, so per-attack-type (print/replay/mask) behavior cannot be analyzed. (2) Degradations are synthetic and do not fully reproduce real capture pipelines. (3) No cross-dataset or device-level evaluation was performed. (4) No formal latency benchmark was measured (model size: 2,225,153 parameters, 8.62 MB). (5) No per-augmentation ablation was performed at this scale. (6) Checkpoint selection uses validation loss rather than a validation error rate. (7) The threshold is fixed at 0.5 by protocol, with no threshold tuning on validation data. (8) A mild APCER/BPCER imbalance persists at the fixed threshold on clean data (E01 BPCER 0.0331 vs APCER 0.0091), reported as a protocol-level observation.</w:t>
      </w:r>
    </w:p>
    <w:p>
      <w:pPr>
        <w:pStyle w:val="Heading1"/>
      </w:pPr>
      <w:r>
        <w:t>7. Conclusion</w:t>
      </w:r>
    </w:p>
    <w:p>
      <w:pPr>
        <w:jc w:val="both"/>
      </w:pPr>
      <w:r>
        <w:rPr>
          <w:sz w:val="22"/>
        </w:rPr>
        <w:t>Quality-aware augmentation improves the robustness of a lightweight MobileNetV2 face PAD model under image quality degradations. The robust model improves ACER in 13 of 16 conditions and F1 in 13 of 16; mean F1 over the degradation grid rises 0.9226→0.9743 and mean ACER falls 0.1153→0.0390. Worst-case behavior improves markedly (F1 0.7985→0.9446; ACER 0.3310→0.1012), and clean-test performance is essentially unchanged (F1 0.9868→0.9831; ROC-AUC 0.9978→0.9969). Gains are largest where the baseline is weakest — strong blur, heavy downscaling, and bright or noisy capture. Future work includes real-device evaluation, latency benchmarking, per-augmentation ablation, threshold calibration on validation data, and cross-dataset evaluation.</w:t>
      </w:r>
    </w:p>
    <w:p>
      <w:pPr>
        <w:pStyle w:val="Heading1"/>
      </w:pPr>
      <w:r>
        <w:t>References</w:t>
      </w:r>
    </w:p>
    <w:p>
      <w:pPr>
        <w:spacing w:after="40"/>
        <w:ind w:left="360" w:hanging="360"/>
      </w:pPr>
      <w:bookmarkStart w:id="901" w:name="ref1"/>
      <w:bookmarkEnd w:id="901"/>
      <w:r>
        <w:rPr>
          <w:b/>
          <w:color w:val="0563C1"/>
          <w:sz w:val="18"/>
        </w:rPr>
        <w:t xml:space="preserve">[1] </w:t>
      </w:r>
      <w:r>
        <w:rPr>
          <w:sz w:val="18"/>
        </w:rPr>
        <w:t xml:space="preserve"> S. Ramachandra and C. Busch, "Presentation attack detection methods for face recognition systems: A comprehensive survey," ACM Comput. Surveys, vol. 50, no. 1, pp. 1–37, 2017.</w:t>
      </w:r>
      <w:r>
        <w:rPr>
          <w:color w:val="0563C1"/>
          <w:sz w:val="18"/>
        </w:rPr>
        <w:t xml:space="preserve"> Available: </w:t>
      </w:r>
      <w:hyperlink r:id="rId15" w:history="1">
        <w:r>
          <w:rPr>
            <w:rFonts w:ascii="Times New Roman" w:hAnsi="Times New Roman"/>
            <w:color w:val="0563C1"/>
            <w:u w:val="single"/>
            <w:sz w:val="18"/>
            <w:szCs w:val="18"/>
          </w:rPr>
          <w:t xml:space="preserve">https://doi.org/10.1145/3038924</w:t>
        </w:r>
      </w:hyperlink>
    </w:p>
    <w:p>
      <w:pPr>
        <w:spacing w:after="40"/>
        <w:ind w:left="360" w:hanging="360"/>
      </w:pPr>
      <w:bookmarkStart w:id="902" w:name="ref2"/>
      <w:bookmarkEnd w:id="902"/>
      <w:r>
        <w:rPr>
          <w:b/>
          <w:color w:val="0563C1"/>
          <w:sz w:val="18"/>
        </w:rPr>
        <w:t xml:space="preserve">[2] </w:t>
      </w:r>
      <w:r>
        <w:rPr>
          <w:sz w:val="18"/>
        </w:rPr>
        <w:t xml:space="preserve"> K. Patel, H. Han, and A. K. Jain, "Secure face unlock: Spoof detection on smartphones," IEEE Trans. Inf. Forensics Security, vol. 11, no. 10, pp. 2268–2283, 2016.</w:t>
      </w:r>
      <w:r>
        <w:rPr>
          <w:color w:val="0563C1"/>
          <w:sz w:val="18"/>
        </w:rPr>
        <w:t xml:space="preserve"> Available: </w:t>
      </w:r>
      <w:hyperlink r:id="rId16" w:history="1">
        <w:r>
          <w:rPr>
            <w:rFonts w:ascii="Times New Roman" w:hAnsi="Times New Roman"/>
            <w:color w:val="0563C1"/>
            <w:u w:val="single"/>
            <w:sz w:val="18"/>
            <w:szCs w:val="18"/>
          </w:rPr>
          <w:t xml:space="preserve">https://doi.org/10.1109/TIFS.2016.2578288</w:t>
        </w:r>
      </w:hyperlink>
    </w:p>
    <w:p>
      <w:pPr>
        <w:spacing w:after="40"/>
        <w:ind w:left="360" w:hanging="360"/>
      </w:pPr>
      <w:bookmarkStart w:id="903" w:name="ref3"/>
      <w:bookmarkEnd w:id="903"/>
      <w:r>
        <w:rPr>
          <w:b/>
          <w:color w:val="0563C1"/>
          <w:sz w:val="18"/>
        </w:rPr>
        <w:t xml:space="preserve">[3] </w:t>
      </w:r>
      <w:r>
        <w:rPr>
          <w:sz w:val="18"/>
        </w:rPr>
        <w:t xml:space="preserve"> J. Määttä, A. Hadid, and M. Pietikäinen, "Face spoofing detection from single images using micro-texture analysis," in Proc. IJCB, 2011, pp. 1–7.</w:t>
      </w:r>
      <w:r>
        <w:rPr>
          <w:color w:val="0563C1"/>
          <w:sz w:val="18"/>
        </w:rPr>
        <w:t xml:space="preserve"> Available: </w:t>
      </w:r>
      <w:hyperlink r:id="rId17" w:history="1">
        <w:r>
          <w:rPr>
            <w:rFonts w:ascii="Times New Roman" w:hAnsi="Times New Roman"/>
            <w:color w:val="0563C1"/>
            <w:u w:val="single"/>
            <w:sz w:val="18"/>
            <w:szCs w:val="18"/>
          </w:rPr>
          <w:t xml:space="preserve">https://doi.org/10.1109/IJCB.2011.6117510</w:t>
        </w:r>
      </w:hyperlink>
    </w:p>
    <w:p>
      <w:pPr>
        <w:spacing w:after="40"/>
        <w:ind w:left="360" w:hanging="360"/>
      </w:pPr>
      <w:bookmarkStart w:id="904" w:name="ref4"/>
      <w:bookmarkEnd w:id="904"/>
      <w:r>
        <w:rPr>
          <w:b/>
          <w:color w:val="0563C1"/>
          <w:sz w:val="18"/>
        </w:rPr>
        <w:t xml:space="preserve">[4] </w:t>
      </w:r>
      <w:r>
        <w:rPr>
          <w:sz w:val="18"/>
        </w:rPr>
        <w:t xml:space="preserve"> I. Chingovska, A. Anjos, and S. Marcel, "On the effectiveness of local binary patterns in face anti-spoofing," in Proc. BIOSIG, 2012, pp. 1–7.</w:t>
      </w:r>
      <w:r>
        <w:rPr>
          <w:color w:val="0563C1"/>
          <w:sz w:val="18"/>
        </w:rPr>
        <w:t xml:space="preserve"> Available: </w:t>
      </w:r>
      <w:hyperlink r:id="rId18" w:history="1">
        <w:r>
          <w:rPr>
            <w:rFonts w:ascii="Times New Roman" w:hAnsi="Times New Roman"/>
            <w:color w:val="0563C1"/>
            <w:u w:val="single"/>
            <w:sz w:val="18"/>
            <w:szCs w:val="18"/>
          </w:rPr>
          <w:t xml:space="preserve">https://publications.idiap.ch/index.php/publications/showcite/Chingovska_Idiap-RR-19-2012</w:t>
        </w:r>
      </w:hyperlink>
    </w:p>
    <w:p>
      <w:pPr>
        <w:spacing w:after="40"/>
        <w:ind w:left="360" w:hanging="360"/>
      </w:pPr>
      <w:bookmarkStart w:id="905" w:name="ref5"/>
      <w:bookmarkEnd w:id="905"/>
      <w:r>
        <w:rPr>
          <w:b/>
          <w:color w:val="0563C1"/>
          <w:sz w:val="18"/>
        </w:rPr>
        <w:t xml:space="preserve">[5] </w:t>
      </w:r>
      <w:r>
        <w:rPr>
          <w:sz w:val="18"/>
        </w:rPr>
        <w:t xml:space="preserve"> Y. Zhang et al., "CelebA-Spoof: Large-scale face anti-spoofing dataset with rich annotations," in Proc. ECCV, 2020.</w:t>
      </w:r>
      <w:r>
        <w:rPr>
          <w:color w:val="0563C1"/>
          <w:sz w:val="18"/>
        </w:rPr>
        <w:t xml:space="preserve"> Available: </w:t>
      </w:r>
      <w:hyperlink r:id="rId19" w:history="1">
        <w:r>
          <w:rPr>
            <w:rFonts w:ascii="Times New Roman" w:hAnsi="Times New Roman"/>
            <w:color w:val="0563C1"/>
            <w:u w:val="single"/>
            <w:sz w:val="18"/>
            <w:szCs w:val="18"/>
          </w:rPr>
          <w:t xml:space="preserve">https://arxiv.org/abs/2007.12342</w:t>
        </w:r>
      </w:hyperlink>
    </w:p>
    <w:p>
      <w:pPr>
        <w:spacing w:after="40"/>
        <w:ind w:left="360" w:hanging="360"/>
      </w:pPr>
      <w:bookmarkStart w:id="906" w:name="ref6"/>
      <w:bookmarkEnd w:id="906"/>
      <w:r>
        <w:rPr>
          <w:b/>
          <w:color w:val="0563C1"/>
          <w:sz w:val="18"/>
        </w:rPr>
        <w:t xml:space="preserve">[6] </w:t>
      </w:r>
      <w:r>
        <w:rPr>
          <w:sz w:val="18"/>
        </w:rPr>
        <w:t xml:space="preserve"> Z. Boulkenafet, J. Komulainen, L. Li, X. Feng, and A. Hadid, "OULU-NPU: A mobile face presentation attack database with real-world variations," in Proc. IEEE FG, 2017, pp. 612–618.</w:t>
      </w:r>
      <w:r>
        <w:rPr>
          <w:color w:val="0563C1"/>
          <w:sz w:val="18"/>
        </w:rPr>
        <w:t xml:space="preserve"> Available: </w:t>
      </w:r>
      <w:hyperlink r:id="rId20" w:history="1">
        <w:r>
          <w:rPr>
            <w:rFonts w:ascii="Times New Roman" w:hAnsi="Times New Roman"/>
            <w:color w:val="0563C1"/>
            <w:u w:val="single"/>
            <w:sz w:val="18"/>
            <w:szCs w:val="18"/>
          </w:rPr>
          <w:t xml:space="preserve">https://doi.org/10.1109/FG.2017.77</w:t>
        </w:r>
      </w:hyperlink>
    </w:p>
    <w:p>
      <w:pPr>
        <w:spacing w:after="40"/>
        <w:ind w:left="360" w:hanging="360"/>
      </w:pPr>
      <w:bookmarkStart w:id="907" w:name="ref7"/>
      <w:bookmarkEnd w:id="907"/>
      <w:r>
        <w:rPr>
          <w:b/>
          <w:color w:val="0563C1"/>
          <w:sz w:val="18"/>
        </w:rPr>
        <w:t xml:space="preserve">[7] </w:t>
      </w:r>
      <w:r>
        <w:rPr>
          <w:sz w:val="18"/>
        </w:rPr>
        <w:t xml:space="preserve"> Y. Liu, A. Jourabloo, and X. Liu, "Learning deep models for face anti-spoofing: Binary or auxiliary supervision," in Proc. CVPR, 2018, pp. 389–398.</w:t>
      </w:r>
      <w:r>
        <w:rPr>
          <w:color w:val="0563C1"/>
          <w:sz w:val="18"/>
        </w:rPr>
        <w:t xml:space="preserve"> Available: </w:t>
      </w:r>
      <w:hyperlink r:id="rId21" w:history="1">
        <w:r>
          <w:rPr>
            <w:rFonts w:ascii="Times New Roman" w:hAnsi="Times New Roman"/>
            <w:color w:val="0563C1"/>
            <w:u w:val="single"/>
            <w:sz w:val="18"/>
            <w:szCs w:val="18"/>
          </w:rPr>
          <w:t xml:space="preserve">https://doi.org/10.1109/CVPR.2018.00048</w:t>
        </w:r>
      </w:hyperlink>
    </w:p>
    <w:p>
      <w:pPr>
        <w:spacing w:after="40"/>
        <w:ind w:left="360" w:hanging="360"/>
      </w:pPr>
      <w:bookmarkStart w:id="908" w:name="ref8"/>
      <w:bookmarkEnd w:id="908"/>
      <w:r>
        <w:rPr>
          <w:b/>
          <w:color w:val="0563C1"/>
          <w:sz w:val="18"/>
        </w:rPr>
        <w:t xml:space="preserve">[8] </w:t>
      </w:r>
      <w:r>
        <w:rPr>
          <w:sz w:val="18"/>
        </w:rPr>
        <w:t xml:space="preserve"> A. George and S. Marcel, "Deep pixel-wise binary supervision for face presentation attack detection," in Proc. ICB, 2019, pp. 1–8.</w:t>
      </w:r>
      <w:r>
        <w:rPr>
          <w:color w:val="0563C1"/>
          <w:sz w:val="18"/>
        </w:rPr>
        <w:t xml:space="preserve"> Available: </w:t>
      </w:r>
      <w:hyperlink r:id="rId22" w:history="1">
        <w:r>
          <w:rPr>
            <w:rFonts w:ascii="Times New Roman" w:hAnsi="Times New Roman"/>
            <w:color w:val="0563C1"/>
            <w:u w:val="single"/>
            <w:sz w:val="18"/>
            <w:szCs w:val="18"/>
          </w:rPr>
          <w:t xml:space="preserve">https://doi.org/10.1109/ICB45273.2019.8987370</w:t>
        </w:r>
      </w:hyperlink>
    </w:p>
    <w:p>
      <w:pPr>
        <w:spacing w:after="40"/>
        <w:ind w:left="360" w:hanging="360"/>
      </w:pPr>
      <w:bookmarkStart w:id="909" w:name="ref9"/>
      <w:bookmarkEnd w:id="909"/>
      <w:r>
        <w:rPr>
          <w:b/>
          <w:color w:val="0563C1"/>
          <w:sz w:val="18"/>
        </w:rPr>
        <w:t xml:space="preserve">[9] </w:t>
      </w:r>
      <w:r>
        <w:rPr>
          <w:sz w:val="18"/>
        </w:rPr>
        <w:t xml:space="preserve"> M. Sandler, A. Howard, M. Zhu, A. Zhmoginov, and L.-C. Chen, "MobileNetV2: Inverted residuals and linear bottlenecks," in Proc. CVPR, 2018, pp. 4510–4520.</w:t>
      </w:r>
      <w:r>
        <w:rPr>
          <w:color w:val="0563C1"/>
          <w:sz w:val="18"/>
        </w:rPr>
        <w:t xml:space="preserve"> Available: </w:t>
      </w:r>
      <w:hyperlink r:id="rId23" w:history="1">
        <w:r>
          <w:rPr>
            <w:rFonts w:ascii="Times New Roman" w:hAnsi="Times New Roman"/>
            <w:color w:val="0563C1"/>
            <w:u w:val="single"/>
            <w:sz w:val="18"/>
            <w:szCs w:val="18"/>
          </w:rPr>
          <w:t xml:space="preserve">https://doi.org/10.1109/CVPR.2018.00474</w:t>
        </w:r>
      </w:hyperlink>
    </w:p>
    <w:p>
      <w:pPr>
        <w:spacing w:after="40"/>
        <w:ind w:left="360" w:hanging="360"/>
      </w:pPr>
      <w:bookmarkStart w:id="910" w:name="ref10"/>
      <w:bookmarkEnd w:id="910"/>
      <w:r>
        <w:rPr>
          <w:b/>
          <w:color w:val="0563C1"/>
          <w:sz w:val="18"/>
        </w:rPr>
        <w:t xml:space="preserve">[10] </w:t>
      </w:r>
      <w:r>
        <w:rPr>
          <w:sz w:val="18"/>
        </w:rPr>
        <w:t xml:space="preserve"> A. G. Howard et al., "MobileNets: Efficient convolutional neural networks for mobile vision applications," arXiv:1704.04861, 2017.</w:t>
      </w:r>
      <w:r>
        <w:rPr>
          <w:color w:val="0563C1"/>
          <w:sz w:val="18"/>
        </w:rPr>
        <w:t xml:space="preserve"> Available: </w:t>
      </w:r>
      <w:hyperlink r:id="rId24" w:history="1">
        <w:r>
          <w:rPr>
            <w:rFonts w:ascii="Times New Roman" w:hAnsi="Times New Roman"/>
            <w:color w:val="0563C1"/>
            <w:u w:val="single"/>
            <w:sz w:val="18"/>
            <w:szCs w:val="18"/>
          </w:rPr>
          <w:t xml:space="preserve">https://arxiv.org/abs/1704.04861</w:t>
        </w:r>
      </w:hyperlink>
    </w:p>
    <w:p>
      <w:pPr>
        <w:spacing w:after="40"/>
        <w:ind w:left="360" w:hanging="360"/>
      </w:pPr>
      <w:bookmarkStart w:id="911" w:name="ref11"/>
      <w:bookmarkEnd w:id="911"/>
      <w:r>
        <w:rPr>
          <w:b/>
          <w:color w:val="0563C1"/>
          <w:sz w:val="18"/>
        </w:rPr>
        <w:t xml:space="preserve">[11] </w:t>
      </w:r>
      <w:r>
        <w:rPr>
          <w:sz w:val="18"/>
        </w:rPr>
        <w:t xml:space="preserve"> D. Hendrycks and T. Dietterich, "Benchmarking neural network robustness to common corruptions and perturbations," in Proc. ICLR, 2019.</w:t>
      </w:r>
      <w:r>
        <w:rPr>
          <w:color w:val="0563C1"/>
          <w:sz w:val="18"/>
        </w:rPr>
        <w:t xml:space="preserve"> Available: </w:t>
      </w:r>
      <w:hyperlink r:id="rId25" w:history="1">
        <w:r>
          <w:rPr>
            <w:rFonts w:ascii="Times New Roman" w:hAnsi="Times New Roman"/>
            <w:color w:val="0563C1"/>
            <w:u w:val="single"/>
            <w:sz w:val="18"/>
            <w:szCs w:val="18"/>
          </w:rPr>
          <w:t xml:space="preserve">https://arxiv.org/abs/1903.12261</w:t>
        </w:r>
      </w:hyperlink>
    </w:p>
    <w:p>
      <w:pPr>
        <w:spacing w:after="40"/>
        <w:ind w:left="360" w:hanging="360"/>
      </w:pPr>
      <w:bookmarkStart w:id="912" w:name="ref12"/>
      <w:bookmarkEnd w:id="912"/>
      <w:r>
        <w:rPr>
          <w:b/>
          <w:color w:val="0563C1"/>
          <w:sz w:val="18"/>
        </w:rPr>
        <w:t xml:space="preserve">[12] </w:t>
      </w:r>
      <w:r>
        <w:rPr>
          <w:sz w:val="18"/>
        </w:rPr>
        <w:t xml:space="preserve"> C. Shorten and T. M. Khoshgoftaar, "A survey on image data augmentation for deep learning," J. Big Data, vol. 6, no. 60, 2019.</w:t>
      </w:r>
      <w:r>
        <w:rPr>
          <w:color w:val="0563C1"/>
          <w:sz w:val="18"/>
        </w:rPr>
        <w:t xml:space="preserve"> Available: </w:t>
      </w:r>
      <w:hyperlink r:id="rId26" w:history="1">
        <w:r>
          <w:rPr>
            <w:rFonts w:ascii="Times New Roman" w:hAnsi="Times New Roman"/>
            <w:color w:val="0563C1"/>
            <w:u w:val="single"/>
            <w:sz w:val="18"/>
            <w:szCs w:val="18"/>
          </w:rPr>
          <w:t xml:space="preserve">https://doi.org/10.1186/s40537-019-0197-0</w:t>
        </w:r>
      </w:hyperlink>
    </w:p>
    <w:p>
      <w:pPr>
        <w:spacing w:after="40"/>
        <w:ind w:left="360" w:hanging="360"/>
      </w:pPr>
      <w:bookmarkStart w:id="913" w:name="ref13"/>
      <w:bookmarkEnd w:id="913"/>
      <w:r>
        <w:rPr>
          <w:b/>
          <w:color w:val="0563C1"/>
          <w:sz w:val="18"/>
        </w:rPr>
        <w:t xml:space="preserve">[13] </w:t>
      </w:r>
      <w:r>
        <w:rPr>
          <w:sz w:val="18"/>
        </w:rPr>
        <w:t xml:space="preserve"> E. D. Cubuk, B. Zoph, D. Mane, V. Vasudevan, and Q. V. Le, "AutoAugment: Learning augmentation strategies from data," in Proc. CVPR, 2019, pp. 113–123.</w:t>
      </w:r>
      <w:r>
        <w:rPr>
          <w:color w:val="0563C1"/>
          <w:sz w:val="18"/>
        </w:rPr>
        <w:t xml:space="preserve"> Available: </w:t>
      </w:r>
      <w:hyperlink r:id="rId27" w:history="1">
        <w:r>
          <w:rPr>
            <w:rFonts w:ascii="Times New Roman" w:hAnsi="Times New Roman"/>
            <w:color w:val="0563C1"/>
            <w:u w:val="single"/>
            <w:sz w:val="18"/>
            <w:szCs w:val="18"/>
          </w:rPr>
          <w:t xml:space="preserve">https://doi.org/10.1109/CVPR.2019.00020</w:t>
        </w:r>
      </w:hyperlink>
    </w:p>
    <w:p>
      <w:pPr>
        <w:spacing w:after="40"/>
        <w:ind w:left="360" w:hanging="360"/>
      </w:pPr>
      <w:bookmarkStart w:id="914" w:name="ref14"/>
      <w:bookmarkEnd w:id="914"/>
      <w:r>
        <w:rPr>
          <w:b/>
          <w:color w:val="0563C1"/>
          <w:sz w:val="18"/>
        </w:rPr>
        <w:t xml:space="preserve">[14] </w:t>
      </w:r>
      <w:r>
        <w:rPr>
          <w:sz w:val="18"/>
        </w:rPr>
        <w:t xml:space="preserve"> Y. Zhang et al., "CelebA-Spoof Challenge 2020 on face anti-spoofing: Methods and results," arXiv:2102.12642, 2021.</w:t>
      </w:r>
      <w:r>
        <w:rPr>
          <w:color w:val="0563C1"/>
          <w:sz w:val="18"/>
        </w:rPr>
        <w:t xml:space="preserve"> Available: </w:t>
      </w:r>
      <w:hyperlink r:id="rId28" w:history="1">
        <w:r>
          <w:rPr>
            <w:rFonts w:ascii="Times New Roman" w:hAnsi="Times New Roman"/>
            <w:color w:val="0563C1"/>
            <w:u w:val="single"/>
            <w:sz w:val="18"/>
            <w:szCs w:val="18"/>
          </w:rPr>
          <w:t xml:space="preserve">https://arxiv.org/abs/2102.12642</w:t>
        </w:r>
      </w:hyperlink>
    </w:p>
    <w:p>
      <w:pPr>
        <w:spacing w:after="40"/>
        <w:ind w:left="360" w:hanging="360"/>
      </w:pPr>
      <w:bookmarkStart w:id="915" w:name="ref15"/>
      <w:bookmarkEnd w:id="915"/>
      <w:r>
        <w:rPr>
          <w:b/>
          <w:color w:val="0563C1"/>
          <w:sz w:val="18"/>
        </w:rPr>
        <w:t xml:space="preserve">[15] </w:t>
      </w:r>
      <w:r>
        <w:rPr>
          <w:sz w:val="18"/>
        </w:rPr>
        <w:t xml:space="preserve"> J. Deng, W. Dong, R. Socher, L.-J. Li, K. Li, and L. Fei-Fei, "ImageNet: A large-scale hierarchical image database," in Proc. CVPR, 2009, pp. 248–255.</w:t>
      </w:r>
      <w:r>
        <w:rPr>
          <w:color w:val="0563C1"/>
          <w:sz w:val="18"/>
        </w:rPr>
        <w:t xml:space="preserve"> Available: </w:t>
      </w:r>
      <w:hyperlink r:id="rId29" w:history="1">
        <w:r>
          <w:rPr>
            <w:rFonts w:ascii="Times New Roman" w:hAnsi="Times New Roman"/>
            <w:color w:val="0563C1"/>
            <w:u w:val="single"/>
            <w:sz w:val="18"/>
            <w:szCs w:val="18"/>
          </w:rPr>
          <w:t xml:space="preserve">https://doi.org/10.1109/CVPR.2009.5206848</w:t>
        </w:r>
      </w:hyperlink>
    </w:p>
    <w:p>
      <w:pPr>
        <w:pStyle w:val="Heading1"/>
      </w:pPr>
      <w:r>
        <w:t>Appendix</w:t>
      </w:r>
    </w:p>
    <w:p>
      <w:r>
        <w:rPr>
          <w:b/>
        </w:rPr>
        <w:t xml:space="preserve">A. Reproducibility. </w:t>
      </w:r>
      <w:r>
        <w:t>Dataset: CelebA-Spoof mirror Ar4ikov/celebA_spoof; subject-disjoint split, seed 123 (142,250/20,322/40,643), fixed test set. Model: MobileNetV2 (2,225,153 parameters). Threshold 0.5. Weights: best validation-loss checkpoint (epoch 18 for both models). Evaluation: deterministic loader (no shuffling), identical degradation grid (Table III). Git commit 296643e1ec9194e4cb5d4c6023fa5e3fd574e40f.</w:t>
      </w:r>
    </w:p>
    <w:p>
      <w:r>
        <w:rPr>
          <w:b/>
        </w:rPr>
        <w:t xml:space="preserve">B. Confusion Matrices. </w:t>
      </w:r>
      <w:r>
        <w:t>Clean test, threshold 0.5; positive class = spoof; rows = actual, columns = predicted (TN/FN/FP/TP).</w:t>
      </w:r>
    </w:p>
    <w:p>
      <w:pPr>
        <w:spacing w:after="160" w:before="40"/>
        <w:jc w:val="center"/>
      </w:pPr>
      <w:r>
        <w:rPr>
          <w:i/>
          <w:sz w:val="18"/>
        </w:rPr>
        <w:t>Table XI. Confusion matrices on the clean test set.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b/>
                <w:sz w:val="18"/>
              </w:rPr>
              <w:t>Model</w:t>
            </w:r>
          </w:p>
        </w:tc>
        <w:tc>
          <w:tcPr>
            <w:tcW w:type="dxa" w:w="1560"/>
          </w:tcPr>
          <w:p>
            <w:pPr>
              <w:jc w:val="center"/>
            </w:pPr>
            <w:r>
              <w:rPr>
                <w:b/>
                <w:sz w:val="18"/>
              </w:rPr>
              <w:t>TN</w:t>
            </w:r>
          </w:p>
        </w:tc>
        <w:tc>
          <w:tcPr>
            <w:tcW w:type="dxa" w:w="1560"/>
          </w:tcPr>
          <w:p>
            <w:pPr>
              <w:jc w:val="center"/>
            </w:pPr>
            <w:r>
              <w:rPr>
                <w:b/>
                <w:sz w:val="18"/>
              </w:rPr>
              <w:t>FN</w:t>
            </w:r>
          </w:p>
        </w:tc>
        <w:tc>
          <w:tcPr>
            <w:tcW w:type="dxa" w:w="1560"/>
          </w:tcPr>
          <w:p>
            <w:pPr>
              <w:jc w:val="center"/>
            </w:pPr>
            <w:r>
              <w:rPr>
                <w:b/>
                <w:sz w:val="18"/>
              </w:rPr>
              <w:t>FP</w:t>
            </w:r>
          </w:p>
        </w:tc>
        <w:tc>
          <w:tcPr>
            <w:tcW w:type="dxa" w:w="1560"/>
          </w:tcPr>
          <w:p>
            <w:pPr>
              <w:jc w:val="center"/>
            </w:pPr>
            <w:r>
              <w:rPr>
                <w:b/>
                <w:sz w:val="18"/>
              </w:rPr>
              <w:t>TP</w:t>
            </w:r>
          </w:p>
        </w:tc>
        <w:tc>
          <w:tcPr>
            <w:tcW w:type="dxa" w:w="1560"/>
          </w:tcPr>
          <w:p>
            <w:pPr>
              <w:jc w:val="center"/>
            </w:pPr>
            <w:r>
              <w:rPr>
                <w:b/>
                <w:sz w:val="18"/>
              </w:rPr>
              <w:t>Total</w:t>
            </w:r>
          </w:p>
        </w:tc>
      </w:tr>
      <w:tr>
        <w:tc>
          <w:tcPr>
            <w:tcW w:type="dxa" w:w="1560"/>
          </w:tcPr>
          <w:p>
            <w:pPr>
              <w:jc w:val="left"/>
            </w:pPr>
            <w:r>
              <w:rPr>
                <w:sz w:val="18"/>
              </w:rPr>
              <w:t>E01</w:t>
            </w:r>
          </w:p>
        </w:tc>
        <w:tc>
          <w:tcPr>
            <w:tcW w:type="dxa" w:w="1560"/>
          </w:tcPr>
          <w:p>
            <w:pPr>
              <w:jc w:val="center"/>
            </w:pPr>
            <w:r>
              <w:rPr>
                <w:sz w:val="18"/>
              </w:rPr>
              <w:t>13557</w:t>
            </w:r>
          </w:p>
        </w:tc>
        <w:tc>
          <w:tcPr>
            <w:tcW w:type="dxa" w:w="1560"/>
          </w:tcPr>
          <w:p>
            <w:pPr>
              <w:jc w:val="center"/>
            </w:pPr>
            <w:r>
              <w:rPr>
                <w:sz w:val="18"/>
              </w:rPr>
              <w:t>243</w:t>
            </w:r>
          </w:p>
        </w:tc>
        <w:tc>
          <w:tcPr>
            <w:tcW w:type="dxa" w:w="1560"/>
          </w:tcPr>
          <w:p>
            <w:pPr>
              <w:jc w:val="center"/>
            </w:pPr>
            <w:r>
              <w:rPr>
                <w:sz w:val="18"/>
              </w:rPr>
              <w:t>464</w:t>
            </w:r>
          </w:p>
        </w:tc>
        <w:tc>
          <w:tcPr>
            <w:tcW w:type="dxa" w:w="1560"/>
          </w:tcPr>
          <w:p>
            <w:pPr>
              <w:jc w:val="center"/>
            </w:pPr>
            <w:r>
              <w:rPr>
                <w:sz w:val="18"/>
              </w:rPr>
              <w:t>26379</w:t>
            </w:r>
          </w:p>
        </w:tc>
        <w:tc>
          <w:tcPr>
            <w:tcW w:type="dxa" w:w="1560"/>
          </w:tcPr>
          <w:p>
            <w:pPr>
              <w:jc w:val="center"/>
            </w:pPr>
            <w:r>
              <w:rPr>
                <w:sz w:val="18"/>
              </w:rPr>
              <w:t>40,643</w:t>
            </w:r>
          </w:p>
        </w:tc>
      </w:tr>
      <w:tr>
        <w:tc>
          <w:tcPr>
            <w:tcW w:type="dxa" w:w="1560"/>
          </w:tcPr>
          <w:p>
            <w:pPr>
              <w:jc w:val="left"/>
            </w:pPr>
            <w:r>
              <w:rPr>
                <w:sz w:val="18"/>
              </w:rPr>
              <w:t>E07</w:t>
            </w:r>
          </w:p>
        </w:tc>
        <w:tc>
          <w:tcPr>
            <w:tcW w:type="dxa" w:w="1560"/>
          </w:tcPr>
          <w:p>
            <w:pPr>
              <w:jc w:val="center"/>
            </w:pPr>
            <w:r>
              <w:rPr>
                <w:sz w:val="18"/>
              </w:rPr>
              <w:t>13513</w:t>
            </w:r>
          </w:p>
        </w:tc>
        <w:tc>
          <w:tcPr>
            <w:tcW w:type="dxa" w:w="1560"/>
          </w:tcPr>
          <w:p>
            <w:pPr>
              <w:jc w:val="center"/>
            </w:pPr>
            <w:r>
              <w:rPr>
                <w:sz w:val="18"/>
              </w:rPr>
              <w:t>396</w:t>
            </w:r>
          </w:p>
        </w:tc>
        <w:tc>
          <w:tcPr>
            <w:tcW w:type="dxa" w:w="1560"/>
          </w:tcPr>
          <w:p>
            <w:pPr>
              <w:jc w:val="center"/>
            </w:pPr>
            <w:r>
              <w:rPr>
                <w:sz w:val="18"/>
              </w:rPr>
              <w:t>508</w:t>
            </w:r>
          </w:p>
        </w:tc>
        <w:tc>
          <w:tcPr>
            <w:tcW w:type="dxa" w:w="1560"/>
          </w:tcPr>
          <w:p>
            <w:pPr>
              <w:jc w:val="center"/>
            </w:pPr>
            <w:r>
              <w:rPr>
                <w:sz w:val="18"/>
              </w:rPr>
              <w:t>26226</w:t>
            </w:r>
          </w:p>
        </w:tc>
        <w:tc>
          <w:tcPr>
            <w:tcW w:type="dxa" w:w="1560"/>
          </w:tcPr>
          <w:p>
            <w:pPr>
              <w:jc w:val="center"/>
            </w:pPr>
            <w:r>
              <w:rPr>
                <w:sz w:val="18"/>
              </w:rPr>
              <w:t>40,643</w:t>
            </w:r>
          </w:p>
        </w:tc>
      </w:tr>
    </w:tbl>
    <w:p>
      <w:r>
        <w:rPr>
          <w:b/>
        </w:rPr>
        <w:t xml:space="preserve">C. Raw Results. </w:t>
      </w:r>
      <w:r>
        <w:t>results/raw/E01_baseline_seed123_bestepoch.json, results/raw/E07_robust_seed123_bestepoch.json, results/raw/E01_baseline_seed123.json and E07_robust_seed123.json (training history/runtime), results/raw/E02-E06_*_seed123.json, E08-E12_*_seed123.json, results/tables/degradation_baseline.csv, degradation_robust.csv, data/splits/celeba_spoof_seed123_subject_disjoint.json.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doi.org/10.1145/3038924" TargetMode="External"/><Relationship Id="rId16" Type="http://schemas.openxmlformats.org/officeDocument/2006/relationships/hyperlink" Target="https://doi.org/10.1109/TIFS.2016.2578288" TargetMode="External"/><Relationship Id="rId17" Type="http://schemas.openxmlformats.org/officeDocument/2006/relationships/hyperlink" Target="https://doi.org/10.1109/IJCB.2011.6117510" TargetMode="External"/><Relationship Id="rId18" Type="http://schemas.openxmlformats.org/officeDocument/2006/relationships/hyperlink" Target="https://publications.idiap.ch/index.php/publications/showcite/Chingovska_Idiap-RR-19-2012" TargetMode="External"/><Relationship Id="rId19" Type="http://schemas.openxmlformats.org/officeDocument/2006/relationships/hyperlink" Target="https://arxiv.org/abs/2007.12342" TargetMode="External"/><Relationship Id="rId20" Type="http://schemas.openxmlformats.org/officeDocument/2006/relationships/hyperlink" Target="https://doi.org/10.1109/FG.2017.77" TargetMode="External"/><Relationship Id="rId21" Type="http://schemas.openxmlformats.org/officeDocument/2006/relationships/hyperlink" Target="https://doi.org/10.1109/CVPR.2018.00048" TargetMode="External"/><Relationship Id="rId22" Type="http://schemas.openxmlformats.org/officeDocument/2006/relationships/hyperlink" Target="https://doi.org/10.1109/ICB45273.2019.8987370" TargetMode="External"/><Relationship Id="rId23" Type="http://schemas.openxmlformats.org/officeDocument/2006/relationships/hyperlink" Target="https://doi.org/10.1109/CVPR.2018.00474" TargetMode="External"/><Relationship Id="rId24" Type="http://schemas.openxmlformats.org/officeDocument/2006/relationships/hyperlink" Target="https://arxiv.org/abs/1704.04861" TargetMode="External"/><Relationship Id="rId25" Type="http://schemas.openxmlformats.org/officeDocument/2006/relationships/hyperlink" Target="https://arxiv.org/abs/1903.12261" TargetMode="External"/><Relationship Id="rId26" Type="http://schemas.openxmlformats.org/officeDocument/2006/relationships/hyperlink" Target="https://doi.org/10.1186/s40537-019-0197-0" TargetMode="External"/><Relationship Id="rId27" Type="http://schemas.openxmlformats.org/officeDocument/2006/relationships/hyperlink" Target="https://doi.org/10.1109/CVPR.2019.00020" TargetMode="External"/><Relationship Id="rId28" Type="http://schemas.openxmlformats.org/officeDocument/2006/relationships/hyperlink" Target="https://arxiv.org/abs/2102.12642" TargetMode="External"/><Relationship Id="rId29" Type="http://schemas.openxmlformats.org/officeDocument/2006/relationships/hyperlink" Target="https://doi.org/10.1109/CVPR.2009.52068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