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SỔ TAY NHÂN VIÊN</w:t>
      </w:r>
    </w:p>
    <w:p>
      <w:pPr>
        <w:jc w:val="center"/>
      </w:pPr>
      <w:r>
        <w:rPr>
          <w:i/>
        </w:rPr>
        <w:t>Áp dụng cho toàn bộ nhân sự NovaSoft</w:t>
      </w:r>
    </w:p>
    <w:tbl>
      <w:tblPr>
        <w:tblStyle w:val="TableGrid"/>
        <w:tblW w:type="auto" w:w="0"/>
        <w:jc w:val="center"/>
        <w:tblLook w:firstColumn="1" w:firstRow="1" w:lastColumn="0" w:lastRow="0" w:noHBand="0" w:noVBand="1" w:val="04A0"/>
      </w:tblPr>
      <w:tblGrid>
        <w:gridCol w:w="4873"/>
        <w:gridCol w:w="4873"/>
      </w:tblGrid>
      <w:tr>
        <w:tc>
          <w:tcPr>
            <w:tcW w:type="dxa" w:w="4873"/>
            <w:shd w:fill="D9EAF7"/>
            <w:vAlign w:val="center"/>
          </w:tcPr>
          <w:p>
            <w:r>
              <w:rPr>
                <w:rFonts w:ascii="Arial" w:hAnsi="Arial"/>
                <w:sz w:val="19"/>
              </w:rPr>
              <w:t>Mã tài liệu</w:t>
            </w:r>
          </w:p>
        </w:tc>
        <w:tc>
          <w:tcPr>
            <w:tcW w:type="dxa" w:w="4873"/>
            <w:vAlign w:val="center"/>
          </w:tcPr>
          <w:p>
            <w:r>
              <w:rPr>
                <w:rFonts w:ascii="Arial" w:hAnsi="Arial"/>
                <w:sz w:val="19"/>
              </w:rPr>
              <w:t>HR-POL-001</w:t>
            </w:r>
          </w:p>
        </w:tc>
      </w:tr>
      <w:tr>
        <w:tc>
          <w:tcPr>
            <w:tcW w:type="dxa" w:w="4873"/>
            <w:shd w:fill="D9EAF7"/>
            <w:vAlign w:val="center"/>
          </w:tcPr>
          <w:p>
            <w:r>
              <w:rPr>
                <w:rFonts w:ascii="Arial" w:hAnsi="Arial"/>
                <w:sz w:val="19"/>
              </w:rPr>
              <w:t>Chủ sở hữu</w:t>
            </w:r>
          </w:p>
        </w:tc>
        <w:tc>
          <w:tcPr>
            <w:tcW w:type="dxa" w:w="4873"/>
            <w:vAlign w:val="center"/>
          </w:tcPr>
          <w:p>
            <w:r>
              <w:rPr>
                <w:rFonts w:ascii="Arial" w:hAnsi="Arial"/>
                <w:sz w:val="19"/>
              </w:rPr>
              <w:t>Phòng Nhân sự</w:t>
            </w:r>
          </w:p>
        </w:tc>
      </w:tr>
      <w:tr>
        <w:tc>
          <w:tcPr>
            <w:tcW w:type="dxa" w:w="4873"/>
            <w:shd w:fill="D9EAF7"/>
            <w:vAlign w:val="center"/>
          </w:tcPr>
          <w:p>
            <w:r>
              <w:rPr>
                <w:rFonts w:ascii="Arial" w:hAnsi="Arial"/>
                <w:sz w:val="19"/>
              </w:rPr>
              <w:t>Trạng thái</w:t>
            </w:r>
          </w:p>
        </w:tc>
        <w:tc>
          <w:tcPr>
            <w:tcW w:type="dxa" w:w="4873"/>
            <w:vAlign w:val="center"/>
          </w:tcPr>
          <w:p>
            <w:r>
              <w:rPr>
                <w:rFonts w:ascii="Arial" w:hAnsi="Arial"/>
                <w:sz w:val="19"/>
              </w:rPr>
              <w:t>Đã phê duyệt</w:t>
            </w:r>
          </w:p>
        </w:tc>
      </w:tr>
      <w:tr>
        <w:tc>
          <w:tcPr>
            <w:tcW w:type="dxa" w:w="4873"/>
            <w:shd w:fill="D9EAF7"/>
            <w:vAlign w:val="center"/>
          </w:tcPr>
          <w:p>
            <w:r>
              <w:rPr>
                <w:rFonts w:ascii="Arial" w:hAnsi="Arial"/>
                <w:sz w:val="19"/>
              </w:rPr>
              <w:t>Hiệu lực từ</w:t>
            </w:r>
          </w:p>
        </w:tc>
        <w:tc>
          <w:tcPr>
            <w:tcW w:type="dxa" w:w="4873"/>
            <w:vAlign w:val="center"/>
          </w:tcPr>
          <w:p>
            <w:r>
              <w:rPr>
                <w:rFonts w:ascii="Arial" w:hAnsi="Arial"/>
                <w:sz w:val="19"/>
              </w:rPr>
              <w:t>01/08/2026</w:t>
            </w:r>
          </w:p>
        </w:tc>
      </w:tr>
      <w:tr>
        <w:tc>
          <w:tcPr>
            <w:tcW w:type="dxa" w:w="4873"/>
            <w:shd w:fill="D9EAF7"/>
            <w:vAlign w:val="center"/>
          </w:tcPr>
          <w:p>
            <w:r>
              <w:rPr>
                <w:rFonts w:ascii="Arial" w:hAnsi="Arial"/>
                <w:sz w:val="19"/>
              </w:rPr>
              <w:t>Phạm vi truy cập</w:t>
            </w:r>
          </w:p>
        </w:tc>
        <w:tc>
          <w:tcPr>
            <w:tcW w:type="dxa" w:w="4873"/>
            <w:vAlign w:val="center"/>
          </w:tcPr>
          <w:p>
            <w:r>
              <w:rPr>
                <w:rFonts w:ascii="Arial" w:hAnsi="Arial"/>
                <w:sz w:val="19"/>
              </w:rPr>
              <w:t>Toàn bộ nhân viên</w:t>
            </w:r>
          </w:p>
        </w:tc>
      </w:tr>
      <w:tr>
        <w:tc>
          <w:tcPr>
            <w:tcW w:type="dxa" w:w="4873"/>
            <w:shd w:fill="D9EAF7"/>
            <w:vAlign w:val="center"/>
          </w:tcPr>
          <w:p>
            <w:r>
              <w:rPr>
                <w:rFonts w:ascii="Arial" w:hAnsi="Arial"/>
                <w:sz w:val="19"/>
              </w:rPr>
              <w:t>Mức bảo mật</w:t>
            </w:r>
          </w:p>
        </w:tc>
        <w:tc>
          <w:tcPr>
            <w:tcW w:type="dxa" w:w="4873"/>
            <w:vAlign w:val="center"/>
          </w:tcPr>
          <w:p>
            <w:r>
              <w:rPr>
                <w:rFonts w:ascii="Arial" w:hAnsi="Arial"/>
                <w:sz w:val="19"/>
              </w:rPr>
              <w:t>Internal</w:t>
            </w:r>
          </w:p>
        </w:tc>
      </w:tr>
    </w:tbl>
    <w:p/>
    <w:p>
      <w:pPr>
        <w:pStyle w:val="Heading1"/>
      </w:pPr>
      <w:r>
        <w:t>1. Mục đích và phạm vi</w:t>
      </w:r>
    </w:p>
    <w:p>
      <w:r>
        <w:t>Sổ tay này tổng hợp các nguyên tắc làm việc, quyền lợi, nghĩa vụ và quy trình nội bộ cơ bản. Các quy định chuyên biệt hoặc hợp đồng lao động đã ký được ưu tiên áp dụng khi có khác biệt.</w:t>
      </w:r>
    </w:p>
    <w:p>
      <w:pPr>
        <w:pStyle w:val="Heading1"/>
      </w:pPr>
      <w:r>
        <w:t>2. Giá trị cốt lõi</w:t>
      </w:r>
    </w:p>
    <w:p>
      <w:r>
        <w:t>NovaSoft đề cao tính chính trực, chủ động, hợp tác, bảo mật thông tin và trách nhiệm với chất lượng sản phẩm.</w:t>
      </w:r>
    </w:p>
    <w:p>
      <w:pPr>
        <w:pStyle w:val="Heading1"/>
      </w:pPr>
      <w:r>
        <w:t>3. Thời giờ làm việc</w:t>
      </w:r>
    </w:p>
    <w:p>
      <w:r>
        <w:t>Giờ làm việc chuẩn từ 08:30 đến 17:30, thứ Hai đến thứ Sáu; nghỉ trưa 12:00-13:00. Nhân viên được linh hoạt 30 phút nếu có xác nhận của quản lý và vẫn bảo đảm đủ thời lượng.</w:t>
      </w:r>
    </w:p>
    <w:p>
      <w:pPr>
        <w:pStyle w:val="Heading1"/>
      </w:pPr>
      <w:r>
        <w:t>4. Chấm công và đi muộn</w:t>
      </w:r>
    </w:p>
    <w:p>
      <w:r>
        <w:t>Nhân viên chấm công qua hệ thống trước khi bắt đầu và khi kết thúc ngày làm việc. Đi muộn trên 15 phút phải ghi lý do; từ ba lần trong tháng, quản lý trao đổi để có biện pháp khắc phục.</w:t>
      </w:r>
    </w:p>
    <w:p>
      <w:pPr>
        <w:pStyle w:val="Heading1"/>
      </w:pPr>
      <w:r>
        <w:t>5. Làm việc từ xa</w:t>
      </w:r>
    </w:p>
    <w:p>
      <w:r>
        <w:t>Nhân viên có thể đăng ký tối đa 2 ngày/tuần khi công việc cho phép. Yêu cầu phải gửi trước ít nhất 1 ngày làm việc và được quản lý trực tiếp phê duyệt.</w:t>
      </w:r>
    </w:p>
    <w:p>
      <w:pPr>
        <w:pStyle w:val="Heading1"/>
      </w:pPr>
      <w:r>
        <w:t>6. Nghỉ phép</w:t>
      </w:r>
    </w:p>
    <w:p>
      <w:r>
        <w:t>Nhân viên gửi yêu cầu nghỉ qua hệ thống. Nghỉ từ 3 ngày liên tiếp cần gửi trước tối thiểu 5 ngày làm việc. Nghỉ khẩn cấp phải thông báo sớm nhất có thể cho quản lý.</w:t>
      </w:r>
    </w:p>
    <w:p>
      <w:pPr>
        <w:pStyle w:val="Heading1"/>
      </w:pPr>
      <w:r>
        <w:t>7. Đánh giá hiệu suất</w:t>
      </w:r>
    </w:p>
    <w:p>
      <w:r>
        <w:t>Đánh giá thử việc, giữa năm và cuối năm dựa trên mục tiêu, chất lượng, tiến độ, hợp tác và mức độ tuân thủ. Nhân viên có quyền phản hồi kết quả trong vòng 5 ngày làm việc.</w:t>
      </w:r>
    </w:p>
    <w:p>
      <w:pPr>
        <w:pStyle w:val="Heading1"/>
      </w:pPr>
      <w:r>
        <w:t>8. Sử dụng tài sản công ty</w:t>
      </w:r>
    </w:p>
    <w:p>
      <w:r>
        <w:t>Laptop, tài khoản và phần mềm được cấp chỉ dùng cho công việc. Không tự ý cài phần mềm không rõ nguồn gốc, cho người khác mượn tài khoản hoặc sao chép dữ liệu công ty ra thiết bị cá nhân.</w:t>
      </w:r>
    </w:p>
    <w:p>
      <w:pPr>
        <w:pStyle w:val="Heading1"/>
      </w:pPr>
      <w:r>
        <w:t>9. Bảo mật</w:t>
      </w:r>
    </w:p>
    <w:p>
      <w:r>
        <w:t>Không chia sẻ mã nguồn, thông tin khách hàng, báo giá, hợp đồng, thông tin nhân sự hoặc dữ liệu nội bộ cho người không có thẩm quyền. Sự cố nghi ngờ rò rỉ phải báo ngay cho IT/Security.</w:t>
      </w:r>
    </w:p>
    <w:p>
      <w:pPr>
        <w:pStyle w:val="Heading1"/>
      </w:pPr>
      <w:r>
        <w:t>10. Ứng xử và chống quấy rối</w:t>
      </w:r>
    </w:p>
    <w:p>
      <w:r>
        <w:t>Mọi nhân viên phải tôn trọng đồng nghiệp, khách hàng và đối tác. Không chấp nhận hành vi xúc phạm, phân biệt đối xử, bắt nạt hoặc quấy rối dưới bất kỳ hình thức nào.</w:t>
      </w:r>
    </w:p>
    <w:p>
      <w:pPr>
        <w:pStyle w:val="Heading1"/>
      </w:pPr>
      <w:r>
        <w:t>11. Khiếu nại nội bộ</w:t>
      </w:r>
    </w:p>
    <w:p>
      <w:r>
        <w:t>Nhân viên có thể gửi phản ánh cho quản lý, HR hoặc kênh bảo mật. Công ty cam kết tiếp nhận khách quan và hạn chế tiết lộ danh tính trong phạm vi có thể.</w:t>
      </w:r>
    </w:p>
    <w:p>
      <w:pPr>
        <w:pStyle w:val="Heading1"/>
      </w:pPr>
      <w:r>
        <w:t>12. Nghỉ việc và bàn giao</w:t>
      </w:r>
    </w:p>
    <w:p>
      <w:r>
        <w:t>Nhân viên thực hiện thời hạn báo trước theo hợp đồng và pháp luật; bàn giao mã nguồn, tài liệu, tài khoản, thiết bị và các công việc đang thực hiện trước ngày nghỉ.</w:t>
      </w:r>
    </w:p>
    <w:p>
      <w:pPr>
        <w:pStyle w:val="Heading1"/>
      </w:pPr>
      <w:r>
        <w:t>13. Câu hỏi thường gặp</w:t>
      </w:r>
    </w:p>
    <w:p>
      <w:r>
        <w:rPr>
          <w:b/>
        </w:rPr>
        <w:t>Tôi quên chấm công thì làm gì?</w:t>
      </w:r>
    </w:p>
    <w:p>
      <w:r>
        <w:t>Tạo yêu cầu điều chỉnh chấm công trong 2 ngày làm việc và ghi rõ giờ thực tế, lý do, người xác nhận.</w:t>
      </w:r>
    </w:p>
    <w:p>
      <w:r>
        <w:rPr>
          <w:b/>
        </w:rPr>
        <w:t>Ai được xem hồ sơ cá nhân của tôi?</w:t>
      </w:r>
    </w:p>
    <w:p>
      <w:r>
        <w:t>Bản thân nhân viên, nhân sự được phân quyền, quản lý có thẩm quyền và Ban Giám đốc trong phạm vi cần thiết.</w:t>
      </w:r>
    </w:p>
    <w:p>
      <w:r>
        <w:rPr>
          <w:b/>
        </w:rPr>
        <w:t>Tôi có thể dùng AI công khai để xử lý mã nguồn khách hàng không?</w:t>
      </w:r>
    </w:p>
    <w:p>
      <w:r>
        <w:t>Không, trừ khi công cụ đã được công ty phê duyệt và dữ liệu được xử lý theo chính sách bảo mật.</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Tài liệu mẫu phục vụ hệ thống AI Workforce - Không thay thế tư vấn pháp lý chính thức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CÔNG TY CỔ PHẦN CÔNG NGHỆ NOVASOFT | HR-POL-001 | Phiên bản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