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THỎA THUẬN BẢO MẬT THÔNG TIN (NDA)</w:t>
      </w:r>
    </w:p>
    <w:p>
      <w:r>
        <w:t>Tài liệu mẫu giữa NovaSoft và đối tác/nhân sự tham gia dự án phần mềm. Các trường trong ngoặc vuông cần được hoàn thiện trước khi ký.</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rial" w:hAnsi="Arial"/>
                <w:sz w:val="19"/>
              </w:rPr>
              <w:t>Mã tài liệu</w:t>
            </w:r>
          </w:p>
        </w:tc>
        <w:tc>
          <w:tcPr>
            <w:tcW w:type="dxa" w:w="4873"/>
            <w:vAlign w:val="center"/>
          </w:tcPr>
          <w:p>
            <w:r>
              <w:rPr>
                <w:rFonts w:ascii="Arial" w:hAnsi="Arial"/>
                <w:sz w:val="19"/>
              </w:rPr>
              <w:t>LEG-TPL-002</w:t>
            </w:r>
          </w:p>
        </w:tc>
      </w:tr>
      <w:tr>
        <w:tc>
          <w:tcPr>
            <w:tcW w:type="dxa" w:w="4873"/>
            <w:shd w:fill="D9EAF7"/>
            <w:vAlign w:val="center"/>
          </w:tcPr>
          <w:p>
            <w:r>
              <w:rPr>
                <w:rFonts w:ascii="Arial" w:hAnsi="Arial"/>
                <w:sz w:val="19"/>
              </w:rPr>
              <w:t>Chủ sở hữu</w:t>
            </w:r>
          </w:p>
        </w:tc>
        <w:tc>
          <w:tcPr>
            <w:tcW w:type="dxa" w:w="4873"/>
            <w:vAlign w:val="center"/>
          </w:tcPr>
          <w:p>
            <w:r>
              <w:rPr>
                <w:rFonts w:ascii="Arial" w:hAnsi="Arial"/>
                <w:sz w:val="19"/>
              </w:rPr>
              <w:t>Pháp chế</w:t>
            </w:r>
          </w:p>
        </w:tc>
      </w:tr>
      <w:tr>
        <w:tc>
          <w:tcPr>
            <w:tcW w:type="dxa" w:w="4873"/>
            <w:shd w:fill="D9EAF7"/>
            <w:vAlign w:val="center"/>
          </w:tcPr>
          <w:p>
            <w:r>
              <w:rPr>
                <w:rFonts w:ascii="Arial" w:hAnsi="Arial"/>
                <w:sz w:val="19"/>
              </w:rPr>
              <w:t>Trạng thái</w:t>
            </w:r>
          </w:p>
        </w:tc>
        <w:tc>
          <w:tcPr>
            <w:tcW w:type="dxa" w:w="4873"/>
            <w:vAlign w:val="center"/>
          </w:tcPr>
          <w:p>
            <w:r>
              <w:rPr>
                <w:rFonts w:ascii="Arial" w:hAnsi="Arial"/>
                <w:sz w:val="19"/>
              </w:rPr>
              <w:t>Mẫu chuẩn</w:t>
            </w:r>
          </w:p>
        </w:tc>
      </w:tr>
      <w:tr>
        <w:tc>
          <w:tcPr>
            <w:tcW w:type="dxa" w:w="4873"/>
            <w:shd w:fill="D9EAF7"/>
            <w:vAlign w:val="center"/>
          </w:tcPr>
          <w:p>
            <w:r>
              <w:rPr>
                <w:rFonts w:ascii="Arial" w:hAnsi="Arial"/>
                <w:sz w:val="19"/>
              </w:rPr>
              <w:t>Phạm vi truy cập</w:t>
            </w:r>
          </w:p>
        </w:tc>
        <w:tc>
          <w:tcPr>
            <w:tcW w:type="dxa" w:w="4873"/>
            <w:vAlign w:val="center"/>
          </w:tcPr>
          <w:p>
            <w:r>
              <w:rPr>
                <w:rFonts w:ascii="Arial" w:hAnsi="Arial"/>
                <w:sz w:val="19"/>
              </w:rPr>
              <w:t>Legal, HR, Sales, Project Manager</w:t>
            </w:r>
          </w:p>
        </w:tc>
      </w:tr>
      <w:tr>
        <w:tc>
          <w:tcPr>
            <w:tcW w:type="dxa" w:w="4873"/>
            <w:shd w:fill="D9EAF7"/>
            <w:vAlign w:val="center"/>
          </w:tcPr>
          <w:p>
            <w:r>
              <w:rPr>
                <w:rFonts w:ascii="Arial" w:hAnsi="Arial"/>
                <w:sz w:val="19"/>
              </w:rPr>
              <w:t>Mức bảo mật</w:t>
            </w:r>
          </w:p>
        </w:tc>
        <w:tc>
          <w:tcPr>
            <w:tcW w:type="dxa" w:w="4873"/>
            <w:vAlign w:val="center"/>
          </w:tcPr>
          <w:p>
            <w:r>
              <w:rPr>
                <w:rFonts w:ascii="Arial" w:hAnsi="Arial"/>
                <w:sz w:val="19"/>
              </w:rPr>
              <w:t>Confidential</w:t>
            </w:r>
          </w:p>
        </w:tc>
      </w:tr>
    </w:tbl>
    <w:p/>
    <w:p>
      <w:r>
        <w:t>Hôm nay, ngày [..]/[..]/[....], tại [địa điểm], các bên gồm:</w:t>
      </w:r>
    </w:p>
    <w:p>
      <w:pPr>
        <w:pStyle w:val="Heading2"/>
      </w:pPr>
      <w:r>
        <w:t>BÊN TIẾT LỘ THÔNG TIN</w:t>
      </w:r>
    </w:p>
    <w:p>
      <w:r>
        <w:t>CÔNG TY CỔ PHẦN CÔNG NGHỆ NOVASOFT</w:t>
        <w:br/>
        <w:t>Địa chỉ: [....]</w:t>
        <w:br/>
        <w:t>Đại diện: [....]</w:t>
        <w:br/>
        <w:t>Chức vụ: [....]</w:t>
      </w:r>
    </w:p>
    <w:p>
      <w:pPr>
        <w:pStyle w:val="Heading2"/>
      </w:pPr>
      <w:r>
        <w:t>BÊN NHẬN THÔNG TIN</w:t>
      </w:r>
    </w:p>
    <w:p>
      <w:r>
        <w:t>Tên tổ chức/cá nhân: [....]</w:t>
        <w:br/>
        <w:t>Địa chỉ: [....]</w:t>
        <w:br/>
        <w:t>Đại diện/CCCD: [....]</w:t>
        <w:br/>
        <w:t>Chức vụ: [....]</w:t>
      </w:r>
    </w:p>
    <w:p>
      <w:pPr>
        <w:pStyle w:val="Heading1"/>
      </w:pPr>
      <w:r>
        <w:t>Điều 1. Thông tin mật</w:t>
      </w:r>
    </w:p>
    <w:p>
      <w:r>
        <w:t>Bao gồm nhưng không giới hạn: mã nguồn, kiến trúc, tài liệu kỹ thuật, dữ liệu khách hàng, thông tin giá, hợp đồng, kế hoạch sản phẩm, tài khoản truy cập, bí mật kinh doanh và mọi thông tin được đánh dấu hoặc có bản chất hợp lý là bí mật.</w:t>
      </w:r>
    </w:p>
    <w:p>
      <w:pPr>
        <w:pStyle w:val="Heading1"/>
      </w:pPr>
      <w:r>
        <w:t>Điều 2. Ngoại lệ</w:t>
      </w:r>
    </w:p>
    <w:p>
      <w:r>
        <w:t>Không coi là thông tin mật nếu bên nhận chứng minh được thông tin đã công khai hợp pháp, đã biết trước khi nhận, được phát triển độc lập hoặc được bên thứ ba cung cấp hợp pháp mà không có nghĩa vụ bảo mật.</w:t>
      </w:r>
    </w:p>
    <w:p>
      <w:pPr>
        <w:pStyle w:val="Heading1"/>
      </w:pPr>
      <w:r>
        <w:t>Điều 3. Nghĩa vụ của bên nhận</w:t>
      </w:r>
    </w:p>
    <w:p>
      <w:r>
        <w:t>Chỉ sử dụng thông tin cho mục đích [mục đích dự án]; giới hạn truy cập theo nguyên tắc cần biết; áp dụng biện pháp bảo vệ hợp lý; không sao chép, tiết lộ hoặc chuyển cho bên thứ ba khi chưa có chấp thuận bằng văn bản.</w:t>
      </w:r>
    </w:p>
    <w:p>
      <w:pPr>
        <w:pStyle w:val="Heading1"/>
      </w:pPr>
      <w:r>
        <w:t>Điều 4. Dữ liệu và hệ thống</w:t>
      </w:r>
    </w:p>
    <w:p>
      <w:r>
        <w:t>Bên nhận không đưa dữ liệu mật lên công cụ AI, kho lưu trữ hoặc dịch vụ bên thứ ba chưa được phê duyệt; không lưu khóa bí mật trong mã nguồn; phải thông báo ngay khi phát hiện truy cập trái phép.</w:t>
      </w:r>
    </w:p>
    <w:p>
      <w:pPr>
        <w:pStyle w:val="Heading1"/>
      </w:pPr>
      <w:r>
        <w:t>Điều 5. Tiết lộ bắt buộc</w:t>
      </w:r>
    </w:p>
    <w:p>
      <w:r>
        <w:t>Khi pháp luật hoặc cơ quan có thẩm quyền yêu cầu, bên nhận chỉ tiết lộ trong phạm vi bắt buộc và, nếu pháp luật cho phép, thông báo trước cho bên tiết lộ.</w:t>
      </w:r>
    </w:p>
    <w:p>
      <w:pPr>
        <w:pStyle w:val="Heading1"/>
      </w:pPr>
      <w:r>
        <w:t>Điều 6. Hoàn trả và tiêu hủy</w:t>
      </w:r>
    </w:p>
    <w:p>
      <w:r>
        <w:t>Theo yêu cầu hoặc khi chấm dứt hợp tác, bên nhận hoàn trả hoặc tiêu hủy bản sao thông tin mật, trừ dữ liệu bắt buộc phải lưu theo pháp luật hoặc chính sách sao lưu đã thống nhất.</w:t>
      </w:r>
    </w:p>
    <w:p>
      <w:pPr>
        <w:pStyle w:val="Heading1"/>
      </w:pPr>
      <w:r>
        <w:t>Điều 7. Quyền sở hữu</w:t>
      </w:r>
    </w:p>
    <w:p>
      <w:r>
        <w:t>Việc cung cấp thông tin không chuyển giao quyền sở hữu trí tuệ, giấy phép hoặc quyền khai thác nào ngoài mục đích được nêu trong thỏa thuận.</w:t>
      </w:r>
    </w:p>
    <w:p>
      <w:pPr>
        <w:pStyle w:val="Heading1"/>
      </w:pPr>
      <w:r>
        <w:t>Điều 8. Thời hạn</w:t>
      </w:r>
    </w:p>
    <w:p>
      <w:r>
        <w:t>Thỏa thuận có hiệu lực từ ngày ký. Nghĩa vụ bảo mật kéo dài [03/05] năm sau khi chấm dứt; bí mật kinh doanh được bảo vệ cho đến khi thông tin không còn là bí mật theo pháp luật.</w:t>
      </w:r>
    </w:p>
    <w:p>
      <w:pPr>
        <w:pStyle w:val="Heading1"/>
      </w:pPr>
      <w:r>
        <w:t>Điều 9. Vi phạm</w:t>
      </w:r>
    </w:p>
    <w:p>
      <w:r>
        <w:t>Bên vi phạm chịu trách nhiệm khắc phục, bồi thường thiệt hại thực tế và các nghĩa vụ khác theo hợp đồng và pháp luật áp dụng.</w:t>
      </w:r>
    </w:p>
    <w:p>
      <w:pPr>
        <w:pStyle w:val="Heading1"/>
      </w:pPr>
      <w:r>
        <w:t>Điều 10. Giải quyết tranh chấp</w:t>
      </w:r>
    </w:p>
    <w:p>
      <w:r>
        <w:t>Các bên ưu tiên thương lượng. Nếu không giải quyết được trong [30] ngày, tranh chấp được đưa ra [Tòa án/Trọng tài] có thẩm quyền tại Việt Nam.</w:t>
      </w:r>
    </w:p>
    <w:p>
      <w:r>
        <w:br/>
        <w:t>ĐẠI DIỆN BÊN TIẾT LỘ                                 ĐẠI DIỆN BÊN NHẬN</w:t>
        <w:br/>
        <w:t>(Ký, ghi rõ họ tên)                                      (Ký, ghi rõ họ tên)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Tài liệu mẫu phục vụ hệ thống AI Workforce - Không thay thế tư vấn pháp lý chính thức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CÔNG TY CỔ PHẦN CÔNG NGHỆ NOVASOFT | LEG-TPL-002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