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NOVASOFT TECHNOLOGY JSC</w:t>
      </w:r>
    </w:p>
    <w:p>
      <w:pPr>
        <w:jc w:val="center"/>
      </w:pPr>
      <w:r>
        <w:rPr>
          <w:b/>
          <w:sz w:val="40"/>
        </w:rPr>
        <w:t>QUY CHẾ QUẢN TRỊ NHÂN SỰ</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Mã tài liệu</w:t>
            </w:r>
          </w:p>
        </w:tc>
        <w:tc>
          <w:tcPr>
            <w:tcW w:type="dxa" w:w="2520"/>
            <w:vAlign w:val="center"/>
          </w:tcPr>
          <w:p>
            <w:r>
              <w:t>HR-POL-001</w:t>
            </w:r>
          </w:p>
        </w:tc>
        <w:tc>
          <w:tcPr>
            <w:tcW w:type="dxa" w:w="2520"/>
            <w:vAlign w:val="center"/>
            <w:shd w:fill="D9EAF7"/>
          </w:tcPr>
          <w:p>
            <w:r>
              <w:rPr>
                <w:b/>
              </w:rPr>
              <w:t>Phiên bản</w:t>
            </w:r>
          </w:p>
        </w:tc>
        <w:tc>
          <w:tcPr>
            <w:tcW w:type="dxa" w:w="2520"/>
            <w:vAlign w:val="center"/>
          </w:tcPr>
          <w:p>
            <w:r>
              <w:t>1.0</w:t>
            </w:r>
          </w:p>
        </w:tc>
      </w:tr>
      <w:tr>
        <w:tc>
          <w:tcPr>
            <w:tcW w:type="dxa" w:w="2520"/>
            <w:vAlign w:val="center"/>
            <w:shd w:fill="D9EAF7"/>
          </w:tcPr>
          <w:p>
            <w:r>
              <w:rPr>
                <w:b/>
              </w:rPr>
              <w:t>Collection</w:t>
            </w:r>
          </w:p>
        </w:tc>
        <w:tc>
          <w:tcPr>
            <w:tcW w:type="dxa" w:w="2520"/>
            <w:vAlign w:val="center"/>
          </w:tcPr>
          <w:p>
            <w:r>
              <w:t>hr_policies</w:t>
            </w:r>
          </w:p>
        </w:tc>
        <w:tc>
          <w:tcPr>
            <w:tcW w:type="dxa" w:w="2520"/>
            <w:vAlign w:val="center"/>
            <w:shd w:fill="D9EAF7"/>
          </w:tcPr>
          <w:p>
            <w:r>
              <w:rPr>
                <w:b/>
              </w:rPr>
              <w:t>Trạng thái</w:t>
            </w:r>
          </w:p>
        </w:tc>
        <w:tc>
          <w:tcPr>
            <w:tcW w:type="dxa" w:w="2520"/>
            <w:vAlign w:val="center"/>
          </w:tcPr>
          <w:p>
            <w:r>
              <w:t>APPROVED</w:t>
            </w:r>
          </w:p>
        </w:tc>
      </w:tr>
      <w:tr>
        <w:tc>
          <w:tcPr>
            <w:tcW w:type="dxa" w:w="2520"/>
            <w:vAlign w:val="center"/>
            <w:shd w:fill="D9EAF7"/>
          </w:tcPr>
          <w:p>
            <w:r>
              <w:rPr>
                <w:b/>
              </w:rPr>
              <w:t>Chủ sở hữu</w:t>
            </w:r>
          </w:p>
        </w:tc>
        <w:tc>
          <w:tcPr>
            <w:tcW w:type="dxa" w:w="2520"/>
            <w:vAlign w:val="center"/>
          </w:tcPr>
          <w:p>
            <w:r>
              <w:t>HR</w:t>
            </w:r>
          </w:p>
        </w:tc>
        <w:tc>
          <w:tcPr>
            <w:tcW w:type="dxa" w:w="2520"/>
            <w:vAlign w:val="center"/>
            <w:shd w:fill="D9EAF7"/>
          </w:tcPr>
          <w:p>
            <w:r>
              <w:rPr>
                <w:b/>
              </w:rPr>
              <w:t>Ngày hiệu lực</w:t>
            </w:r>
          </w:p>
        </w:tc>
        <w:tc>
          <w:tcPr>
            <w:tcW w:type="dxa" w:w="2520"/>
            <w:vAlign w:val="center"/>
          </w:tcPr>
          <w:p>
            <w:r>
              <w:t>01/08/2026</w:t>
            </w:r>
          </w:p>
        </w:tc>
      </w:tr>
      <w:tr>
        <w:tc>
          <w:tcPr>
            <w:tcW w:type="dxa" w:w="2520"/>
            <w:vAlign w:val="center"/>
            <w:shd w:fill="D9EAF7"/>
          </w:tcPr>
          <w:p>
            <w:r>
              <w:rPr>
                <w:b/>
              </w:rPr>
              <w:t>ACL</w:t>
            </w:r>
          </w:p>
        </w:tc>
        <w:tc>
          <w:tcPr>
            <w:tcW w:type="dxa" w:w="2520"/>
            <w:vAlign w:val="center"/>
          </w:tcPr>
          <w:p>
            <w:r>
              <w:t>Tất cả nhân viên; HR chỉnh sửa; Manager xem theo phạm vi</w:t>
            </w:r>
          </w:p>
        </w:tc>
        <w:tc>
          <w:tcPr>
            <w:tcW w:type="dxa" w:w="2520"/>
            <w:vAlign w:val="center"/>
            <w:shd w:fill="D9EAF7"/>
          </w:tcPr>
          <w:p>
            <w:r>
              <w:rPr>
                <w:b/>
              </w:rPr>
              <w:t>Mức độ</w:t>
            </w:r>
          </w:p>
        </w:tc>
        <w:tc>
          <w:tcPr>
            <w:tcW w:type="dxa" w:w="2520"/>
            <w:vAlign w:val="center"/>
          </w:tcPr>
          <w:p>
            <w:r>
              <w:t>INTERNAL</w:t>
            </w:r>
          </w:p>
        </w:tc>
      </w:tr>
    </w:tbl>
    <w:p/>
    <w:p>
      <w:pPr>
        <w:pStyle w:val="Heading1"/>
      </w:pPr>
      <w:r>
        <w:t>1. Mục đích và phạm vi</w:t>
      </w:r>
    </w:p>
    <w:p>
      <w:r>
        <w:t>Quy chế chuẩn hóa vòng đời nhân sự từ tuyển dụng, thử việc, làm việc, đánh giá, đào tạo đến nghỉ việc; đồng thời cung cấp nguồn chính thức để trợ lý AI trả lời câu hỏi nội bộ.</w:t>
      </w:r>
    </w:p>
    <w:p>
      <w:pPr>
        <w:pStyle w:val="Heading1"/>
      </w:pPr>
      <w:r>
        <w:t>2. Nguyên tắc quản trị nhân sự</w:t>
      </w:r>
    </w:p>
    <w:p>
      <w:pPr>
        <w:pStyle w:val="ListBullet"/>
      </w:pPr>
      <w:r>
        <w:t>Minh bạch về trách nhiệm, quyền lợi và tiêu chí đánh giá.</w:t>
      </w:r>
    </w:p>
    <w:p>
      <w:pPr>
        <w:pStyle w:val="ListBullet"/>
      </w:pPr>
      <w:r>
        <w:t>Chỉ thu thập dữ liệu cá nhân cần thiết và giới hạn quyền truy cập.</w:t>
      </w:r>
    </w:p>
    <w:p>
      <w:pPr>
        <w:pStyle w:val="ListBullet"/>
      </w:pPr>
      <w:r>
        <w:t>Mọi thay đổi về lương, chức danh, hợp đồng phải có phê duyệt và lưu lịch sử.</w:t>
      </w:r>
    </w:p>
    <w:p>
      <w:pPr>
        <w:pStyle w:val="ListBullet"/>
      </w:pPr>
      <w:r>
        <w:t>AI chỉ hỗ trợ tra cứu, tóm tắt và tạo bản nháp; quyết định nhân sự do người có thẩm quyền thực hiện.</w:t>
      </w:r>
    </w:p>
    <w:p>
      <w:pPr>
        <w:pStyle w:val="Heading1"/>
      </w:pPr>
      <w:r>
        <w:t>3. Tuyển dụng và tiếp nhận</w:t>
      </w:r>
    </w:p>
    <w:p>
      <w:pPr>
        <w:pStyle w:val="ListNumber"/>
      </w:pPr>
      <w:r>
        <w:t>Trưởng bộ phận gửi yêu cầu tuyển dụng nêu rõ lý do, ngân sách, cấp bậc và ngày cần nhân sự.</w:t>
      </w:r>
    </w:p>
    <w:p>
      <w:pPr>
        <w:pStyle w:val="ListNumber"/>
      </w:pPr>
      <w:r>
        <w:t>HR kiểm tra headcount, chuẩn hóa JD và trình phê duyệt.</w:t>
      </w:r>
    </w:p>
    <w:p>
      <w:pPr>
        <w:pStyle w:val="ListNumber"/>
      </w:pPr>
      <w:r>
        <w:t>Ứng viên được đánh giá theo phiếu chấm thống nhất; nghiêm cấm sử dụng tiêu chí phân biệt đối xử.</w:t>
      </w:r>
    </w:p>
    <w:p>
      <w:pPr>
        <w:pStyle w:val="ListNumber"/>
      </w:pPr>
      <w:r>
        <w:t>Offer chỉ có hiệu lực sau khi HR Manager và người có thẩm quyền phê duyệt.</w:t>
      </w:r>
    </w:p>
    <w:p>
      <w:pPr>
        <w:pStyle w:val="ListNumber"/>
      </w:pPr>
      <w:r>
        <w:t>Trước ngày onboard, HR tạo hồ sơ, tài khoản, lịch định hướng và yêu cầu cấp thiết bị.</w:t>
      </w:r>
    </w:p>
    <w:p>
      <w:pPr>
        <w:pStyle w:val="Heading1"/>
      </w:pPr>
      <w:r>
        <w:t>4. Thử việc và đánh giá</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Pr>
          <w:p>
            <w:r>
              <w:rPr>
                <w:b/>
                <w:color w:val="FFFFFF"/>
              </w:rPr>
              <w:t>Mốc</w:t>
            </w:r>
          </w:p>
        </w:tc>
        <w:tc>
          <w:tcPr>
            <w:tcW w:type="dxa" w:w="2520"/>
            <w:shd w:fill="1F4E78"/>
          </w:tcPr>
          <w:p>
            <w:r>
              <w:rPr>
                <w:b/>
                <w:color w:val="FFFFFF"/>
              </w:rPr>
              <w:t>Người thực hiện</w:t>
            </w:r>
          </w:p>
        </w:tc>
        <w:tc>
          <w:tcPr>
            <w:tcW w:type="dxa" w:w="2520"/>
            <w:shd w:fill="1F4E78"/>
          </w:tcPr>
          <w:p>
            <w:r>
              <w:rPr>
                <w:b/>
                <w:color w:val="FFFFFF"/>
              </w:rPr>
              <w:t>Nội dung</w:t>
            </w:r>
          </w:p>
        </w:tc>
        <w:tc>
          <w:tcPr>
            <w:tcW w:type="dxa" w:w="2520"/>
            <w:shd w:fill="1F4E78"/>
          </w:tcPr>
          <w:p>
            <w:r>
              <w:rPr>
                <w:b/>
                <w:color w:val="FFFFFF"/>
              </w:rPr>
              <w:t>Kết quả</w:t>
            </w:r>
          </w:p>
        </w:tc>
      </w:tr>
      <w:tr>
        <w:tc>
          <w:tcPr>
            <w:tcW w:type="dxa" w:w="2520"/>
          </w:tcPr>
          <w:p>
            <w:r>
              <w:t>Tuần 1</w:t>
            </w:r>
          </w:p>
        </w:tc>
        <w:tc>
          <w:tcPr>
            <w:tcW w:type="dxa" w:w="2520"/>
          </w:tcPr>
          <w:p>
            <w:r>
              <w:t>Quản lý trực tiếp</w:t>
            </w:r>
          </w:p>
        </w:tc>
        <w:tc>
          <w:tcPr>
            <w:tcW w:type="dxa" w:w="2520"/>
          </w:tcPr>
          <w:p>
            <w:r>
              <w:t>Thống nhất mục tiêu và kế hoạch học việc</w:t>
            </w:r>
          </w:p>
        </w:tc>
        <w:tc>
          <w:tcPr>
            <w:tcW w:type="dxa" w:w="2520"/>
          </w:tcPr>
          <w:p>
            <w:r>
              <w:t>Kế hoạch thử việc</w:t>
            </w:r>
          </w:p>
        </w:tc>
      </w:tr>
      <w:tr>
        <w:tc>
          <w:tcPr>
            <w:tcW w:type="dxa" w:w="2520"/>
          </w:tcPr>
          <w:p>
            <w:r>
              <w:t>Giữa kỳ</w:t>
            </w:r>
          </w:p>
        </w:tc>
        <w:tc>
          <w:tcPr>
            <w:tcW w:type="dxa" w:w="2520"/>
          </w:tcPr>
          <w:p>
            <w:r>
              <w:t>Quản lý + HR</w:t>
            </w:r>
          </w:p>
        </w:tc>
        <w:tc>
          <w:tcPr>
            <w:tcW w:type="dxa" w:w="2520"/>
          </w:tcPr>
          <w:p>
            <w:r>
              <w:t>Đánh giá tiến độ, năng lực, thái độ</w:t>
            </w:r>
          </w:p>
        </w:tc>
        <w:tc>
          <w:tcPr>
            <w:tcW w:type="dxa" w:w="2520"/>
          </w:tcPr>
          <w:p>
            <w:r>
              <w:t>Biên bản phản hồi</w:t>
            </w:r>
          </w:p>
        </w:tc>
      </w:tr>
      <w:tr>
        <w:tc>
          <w:tcPr>
            <w:tcW w:type="dxa" w:w="2520"/>
          </w:tcPr>
          <w:p>
            <w:r>
              <w:t>Cuối kỳ</w:t>
            </w:r>
          </w:p>
        </w:tc>
        <w:tc>
          <w:tcPr>
            <w:tcW w:type="dxa" w:w="2520"/>
          </w:tcPr>
          <w:p>
            <w:r>
              <w:t>Quản lý + HR</w:t>
            </w:r>
          </w:p>
        </w:tc>
        <w:tc>
          <w:tcPr>
            <w:tcW w:type="dxa" w:w="2520"/>
          </w:tcPr>
          <w:p>
            <w:r>
              <w:t>Chấm theo tiêu chí và đề xuất</w:t>
            </w:r>
          </w:p>
        </w:tc>
        <w:tc>
          <w:tcPr>
            <w:tcW w:type="dxa" w:w="2520"/>
          </w:tcPr>
          <w:p>
            <w:r>
              <w:t>Đạt/Gia hạn/Không đạt</w:t>
            </w:r>
          </w:p>
        </w:tc>
      </w:tr>
    </w:tbl>
    <w:p>
      <w:pPr>
        <w:pStyle w:val="Heading1"/>
      </w:pPr>
      <w:r>
        <w:t>5. Chấm công, nghỉ phép và làm việc từ xa</w:t>
      </w:r>
    </w:p>
    <w:p>
      <w:pPr>
        <w:pStyle w:val="ListBullet"/>
      </w:pPr>
      <w:r>
        <w:t>Nhân viên chấm công trên hệ thống trước 10:00 mỗi ngày làm việc.</w:t>
      </w:r>
    </w:p>
    <w:p>
      <w:pPr>
        <w:pStyle w:val="ListBullet"/>
      </w:pPr>
      <w:r>
        <w:t>Nghỉ từ 2 ngày liên tiếp phải gửi trước tối thiểu 3 ngày làm việc, trừ tình huống khẩn cấp.</w:t>
      </w:r>
    </w:p>
    <w:p>
      <w:pPr>
        <w:pStyle w:val="ListBullet"/>
      </w:pPr>
      <w:r>
        <w:t>Làm việc từ xa cần được quản lý duyệt và phải bảo đảm khả năng liên lạc, bảo mật thiết bị, hoàn thành đầu việc.</w:t>
      </w:r>
    </w:p>
    <w:p>
      <w:pPr>
        <w:pStyle w:val="ListBullet"/>
      </w:pPr>
      <w:r>
        <w:t>Dữ liệu số dư phép là dữ liệu cá nhân; nhân viên chỉ được truy cập hồ sơ của chính mình.</w:t>
      </w:r>
    </w:p>
    <w:p>
      <w:pPr>
        <w:pStyle w:val="Heading1"/>
      </w:pPr>
      <w:r>
        <w:t>6. Đánh giá hiệu suất và phát triển</w:t>
      </w:r>
    </w:p>
    <w:p>
      <w:pPr>
        <w:pStyle w:val="ListBullet"/>
      </w:pPr>
      <w:r>
        <w:t>Chu kỳ đánh giá chính thức: 6 tháng/lần.</w:t>
      </w:r>
    </w:p>
    <w:p>
      <w:pPr>
        <w:pStyle w:val="ListBullet"/>
      </w:pPr>
      <w:r>
        <w:t>Nguồn đánh giá gồm kết quả mục tiêu, chất lượng công việc, hợp tác và tuân thủ.</w:t>
      </w:r>
    </w:p>
    <w:p>
      <w:pPr>
        <w:pStyle w:val="ListBullet"/>
      </w:pPr>
      <w:r>
        <w:t>Mọi kết luận phải có ví dụ cụ thể và cơ hội phản hồi của nhân viên.</w:t>
      </w:r>
    </w:p>
    <w:p>
      <w:pPr>
        <w:pStyle w:val="ListBullet"/>
      </w:pPr>
      <w:r>
        <w:t>Kế hoạch đào tạo được ưu tiên theo nhu cầu dự án và khung năng lực của vị trí.</w:t>
      </w:r>
    </w:p>
    <w:p>
      <w:pPr>
        <w:pStyle w:val="Heading1"/>
      </w:pPr>
      <w:r>
        <w:t>7. Nghỉ việc và thu hồi quyền</w:t>
      </w:r>
    </w:p>
    <w:p>
      <w:pPr>
        <w:pStyle w:val="ListNumber"/>
      </w:pPr>
      <w:r>
        <w:t>Nhân viên gửi đơn nghỉ theo thời hạn báo trước trong hợp đồng.</w:t>
      </w:r>
    </w:p>
    <w:p>
      <w:pPr>
        <w:pStyle w:val="ListNumber"/>
      </w:pPr>
      <w:r>
        <w:t>Quản lý lập kế hoạch bàn giao; HR xác nhận công nợ và tài sản.</w:t>
      </w:r>
    </w:p>
    <w:p>
      <w:pPr>
        <w:pStyle w:val="ListNumber"/>
      </w:pPr>
      <w:r>
        <w:t>IT thu hồi tài khoản, token, quyền repository, VPN và thiết bị đúng thời điểm.</w:t>
      </w:r>
    </w:p>
    <w:p>
      <w:pPr>
        <w:pStyle w:val="ListNumber"/>
      </w:pPr>
      <w:r>
        <w:t>HR lưu biên bản bàn giao và quyết định chấm dứt theo chính sách lưu trữ.</w:t>
      </w:r>
    </w:p>
    <w:p>
      <w:pPr>
        <w:pStyle w:val="Heading1"/>
      </w:pPr>
      <w:r>
        <w:t>8. Quy tắc RAG và ACL</w:t>
      </w:r>
    </w:p>
    <w:p>
      <w:pPr>
        <w:pStyle w:val="ListBullet"/>
      </w:pPr>
      <w:r>
        <w:t>Collection hr_policies: toàn công ty được tra cứu.</w:t>
      </w:r>
    </w:p>
    <w:p>
      <w:pPr>
        <w:pStyle w:val="ListBullet"/>
      </w:pPr>
      <w:r>
        <w:t>Collection hr_employee_records: chỉ HR, CEO và cá nhân liên quan theo row-level ACL.</w:t>
      </w:r>
    </w:p>
    <w:p>
      <w:pPr>
        <w:pStyle w:val="ListBullet"/>
      </w:pPr>
      <w:r>
        <w:t>Câu hỏi về lương, kỷ luật, sức khỏe hoặc hồ sơ cá nhân phải xác thực danh tính và không đưa dữ liệu người khác vào prompt.</w:t>
      </w:r>
    </w:p>
    <w:p>
      <w:pPr>
        <w:pStyle w:val="ListBullet"/>
      </w:pPr>
      <w:r>
        <w:t>Nguồn trả lời phải hiển thị tên tài liệu, phiên bản và mục trích dẫn.</w:t>
      </w:r>
    </w:p>
    <w:p/>
    <w:p>
      <w:r>
        <w:rPr>
          <w:i/>
        </w:rPr>
        <w:t>Lưu ý: Tài liệu này là dữ liệu giả lập phục vụ thử nghiệm Knowledge Base, RAG, phân quyền ACL và audit log. Trước khi áp dụng thực tế phải được bộ phận chuyên trách rà soát và phê duyệt.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