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NOVASOFT TECHNOLOGY JSC</w:t>
      </w:r>
    </w:p>
    <w:p>
      <w:pPr>
        <w:jc w:val="center"/>
      </w:pPr>
      <w:r>
        <w:rPr>
          <w:b/>
          <w:sz w:val="40"/>
        </w:rPr>
        <w:t>QUY CHẾ TÀI CHÍNH VÀ PHÊ DUYỆT CHI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b/>
              </w:rPr>
              <w:t>Mã tài liệu</w:t>
            </w:r>
          </w:p>
        </w:tc>
        <w:tc>
          <w:tcPr>
            <w:tcW w:type="dxa" w:w="2520"/>
            <w:vAlign w:val="center"/>
          </w:tcPr>
          <w:p>
            <w:r>
              <w:t>FIN-POL-001</w:t>
            </w:r>
          </w:p>
        </w:tc>
        <w:tc>
          <w:tcPr>
            <w:tcW w:type="dxa" w:w="2520"/>
            <w:vAlign w:val="center"/>
            <w:shd w:fill="D9EAF7"/>
          </w:tcPr>
          <w:p>
            <w:r>
              <w:rPr>
                <w:b/>
              </w:rPr>
              <w:t>Phiên bản</w:t>
            </w:r>
          </w:p>
        </w:tc>
        <w:tc>
          <w:tcPr>
            <w:tcW w:type="dxa" w:w="2520"/>
            <w:vAlign w:val="center"/>
          </w:tcPr>
          <w:p>
            <w:r>
              <w:t>1.0</w:t>
            </w:r>
          </w:p>
        </w:tc>
      </w:tr>
      <w:tr>
        <w:tc>
          <w:tcPr>
            <w:tcW w:type="dxa" w:w="2520"/>
            <w:vAlign w:val="center"/>
            <w:shd w:fill="D9EAF7"/>
          </w:tcPr>
          <w:p>
            <w:r>
              <w:rPr>
                <w:b/>
              </w:rPr>
              <w:t>Collection</w:t>
            </w:r>
          </w:p>
        </w:tc>
        <w:tc>
          <w:tcPr>
            <w:tcW w:type="dxa" w:w="2520"/>
            <w:vAlign w:val="center"/>
          </w:tcPr>
          <w:p>
            <w:r>
              <w:t>finance_policies</w:t>
            </w:r>
          </w:p>
        </w:tc>
        <w:tc>
          <w:tcPr>
            <w:tcW w:type="dxa" w:w="2520"/>
            <w:vAlign w:val="center"/>
            <w:shd w:fill="D9EAF7"/>
          </w:tcPr>
          <w:p>
            <w:r>
              <w:rPr>
                <w:b/>
              </w:rPr>
              <w:t>Trạng thái</w:t>
            </w:r>
          </w:p>
        </w:tc>
        <w:tc>
          <w:tcPr>
            <w:tcW w:type="dxa" w:w="2520"/>
            <w:vAlign w:val="center"/>
          </w:tcPr>
          <w:p>
            <w:r>
              <w:t>APPROVED</w:t>
            </w:r>
          </w:p>
        </w:tc>
      </w:tr>
      <w:tr>
        <w:tc>
          <w:tcPr>
            <w:tcW w:type="dxa" w:w="2520"/>
            <w:vAlign w:val="center"/>
            <w:shd w:fill="D9EAF7"/>
          </w:tcPr>
          <w:p>
            <w:r>
              <w:rPr>
                <w:b/>
              </w:rPr>
              <w:t>Chủ sở hữu</w:t>
            </w:r>
          </w:p>
        </w:tc>
        <w:tc>
          <w:tcPr>
            <w:tcW w:type="dxa" w:w="2520"/>
            <w:vAlign w:val="center"/>
          </w:tcPr>
          <w:p>
            <w:r>
              <w:t>FINANCE</w:t>
            </w:r>
          </w:p>
        </w:tc>
        <w:tc>
          <w:tcPr>
            <w:tcW w:type="dxa" w:w="2520"/>
            <w:vAlign w:val="center"/>
            <w:shd w:fill="D9EAF7"/>
          </w:tcPr>
          <w:p>
            <w:r>
              <w:rPr>
                <w:b/>
              </w:rPr>
              <w:t>Ngày hiệu lực</w:t>
            </w:r>
          </w:p>
        </w:tc>
        <w:tc>
          <w:tcPr>
            <w:tcW w:type="dxa" w:w="2520"/>
            <w:vAlign w:val="center"/>
          </w:tcPr>
          <w:p>
            <w:r>
              <w:t>01/08/2026</w:t>
            </w:r>
          </w:p>
        </w:tc>
      </w:tr>
      <w:tr>
        <w:tc>
          <w:tcPr>
            <w:tcW w:type="dxa" w:w="2520"/>
            <w:vAlign w:val="center"/>
            <w:shd w:fill="D9EAF7"/>
          </w:tcPr>
          <w:p>
            <w:r>
              <w:rPr>
                <w:b/>
              </w:rPr>
              <w:t>ACL</w:t>
            </w:r>
          </w:p>
        </w:tc>
        <w:tc>
          <w:tcPr>
            <w:tcW w:type="dxa" w:w="2520"/>
            <w:vAlign w:val="center"/>
          </w:tcPr>
          <w:p>
            <w:r>
              <w:t>Finance, CEO; Manager xem ngân sách được giao</w:t>
            </w:r>
          </w:p>
        </w:tc>
        <w:tc>
          <w:tcPr>
            <w:tcW w:type="dxa" w:w="2520"/>
            <w:vAlign w:val="center"/>
            <w:shd w:fill="D9EAF7"/>
          </w:tcPr>
          <w:p>
            <w:r>
              <w:rPr>
                <w:b/>
              </w:rPr>
              <w:t>Mức độ</w:t>
            </w:r>
          </w:p>
        </w:tc>
        <w:tc>
          <w:tcPr>
            <w:tcW w:type="dxa" w:w="2520"/>
            <w:vAlign w:val="center"/>
          </w:tcPr>
          <w:p>
            <w:r>
              <w:t>INTERNAL</w:t>
            </w:r>
          </w:p>
        </w:tc>
      </w:tr>
    </w:tbl>
    <w:p/>
    <w:p>
      <w:pPr>
        <w:pStyle w:val="Heading1"/>
      </w:pPr>
      <w:r>
        <w:t>1. Mục đích và phạm vi</w:t>
      </w:r>
    </w:p>
    <w:p>
      <w:r>
        <w:t>Tài liệu quy định quy trình lập ngân sách, đề nghị thanh toán, tạm ứng, mua sắm, xuất hóa đơn và kiểm soát chi phí dự án.</w:t>
      </w:r>
    </w:p>
    <w:p>
      <w:pPr>
        <w:pStyle w:val="Heading1"/>
      </w:pPr>
      <w:r>
        <w:t>2. Phân loại chi phí</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tcPr>
          <w:p>
            <w:r>
              <w:rPr>
                <w:b/>
                <w:color w:val="FFFFFF"/>
              </w:rPr>
              <w:t>Nhóm</w:t>
            </w:r>
          </w:p>
        </w:tc>
        <w:tc>
          <w:tcPr>
            <w:tcW w:type="dxa" w:w="2520"/>
            <w:shd w:fill="1F4E78"/>
          </w:tcPr>
          <w:p>
            <w:r>
              <w:rPr>
                <w:b/>
                <w:color w:val="FFFFFF"/>
              </w:rPr>
              <w:t>Ví dụ</w:t>
            </w:r>
          </w:p>
        </w:tc>
        <w:tc>
          <w:tcPr>
            <w:tcW w:type="dxa" w:w="2520"/>
            <w:shd w:fill="1F4E78"/>
          </w:tcPr>
          <w:p>
            <w:r>
              <w:rPr>
                <w:b/>
                <w:color w:val="FFFFFF"/>
              </w:rPr>
              <w:t>Chủ ngân sách</w:t>
            </w:r>
          </w:p>
        </w:tc>
        <w:tc>
          <w:tcPr>
            <w:tcW w:type="dxa" w:w="2520"/>
            <w:shd w:fill="1F4E78"/>
          </w:tcPr>
          <w:p>
            <w:r>
              <w:rPr>
                <w:b/>
                <w:color w:val="FFFFFF"/>
              </w:rPr>
              <w:t>Yêu cầu chứng từ</w:t>
            </w:r>
          </w:p>
        </w:tc>
      </w:tr>
      <w:tr>
        <w:tc>
          <w:tcPr>
            <w:tcW w:type="dxa" w:w="2520"/>
          </w:tcPr>
          <w:p>
            <w:r>
              <w:t>Vận hành</w:t>
            </w:r>
          </w:p>
        </w:tc>
        <w:tc>
          <w:tcPr>
            <w:tcW w:type="dxa" w:w="2520"/>
          </w:tcPr>
          <w:p>
            <w:r>
              <w:t>Văn phòng, phần mềm nội bộ</w:t>
            </w:r>
          </w:p>
        </w:tc>
        <w:tc>
          <w:tcPr>
            <w:tcW w:type="dxa" w:w="2520"/>
          </w:tcPr>
          <w:p>
            <w:r>
              <w:t>COO/Finance</w:t>
            </w:r>
          </w:p>
        </w:tc>
        <w:tc>
          <w:tcPr>
            <w:tcW w:type="dxa" w:w="2520"/>
          </w:tcPr>
          <w:p>
            <w:r>
              <w:t>Hóa đơn, đề nghị thanh toán</w:t>
            </w:r>
          </w:p>
        </w:tc>
      </w:tr>
      <w:tr>
        <w:tc>
          <w:tcPr>
            <w:tcW w:type="dxa" w:w="2520"/>
          </w:tcPr>
          <w:p>
            <w:r>
              <w:t>Dự án</w:t>
            </w:r>
          </w:p>
        </w:tc>
        <w:tc>
          <w:tcPr>
            <w:tcW w:type="dxa" w:w="2520"/>
          </w:tcPr>
          <w:p>
            <w:r>
              <w:t>Cloud, API, nhân sự thuê ngoài</w:t>
            </w:r>
          </w:p>
        </w:tc>
        <w:tc>
          <w:tcPr>
            <w:tcW w:type="dxa" w:w="2520"/>
          </w:tcPr>
          <w:p>
            <w:r>
              <w:t>PM</w:t>
            </w:r>
          </w:p>
        </w:tc>
        <w:tc>
          <w:tcPr>
            <w:tcW w:type="dxa" w:w="2520"/>
          </w:tcPr>
          <w:p>
            <w:r>
              <w:t>Mã dự án, phê duyệt PM</w:t>
            </w:r>
          </w:p>
        </w:tc>
      </w:tr>
      <w:tr>
        <w:tc>
          <w:tcPr>
            <w:tcW w:type="dxa" w:w="2520"/>
          </w:tcPr>
          <w:p>
            <w:r>
              <w:t>Đầu tư</w:t>
            </w:r>
          </w:p>
        </w:tc>
        <w:tc>
          <w:tcPr>
            <w:tcW w:type="dxa" w:w="2520"/>
          </w:tcPr>
          <w:p>
            <w:r>
              <w:t>Laptop, server, thiết bị</w:t>
            </w:r>
          </w:p>
        </w:tc>
        <w:tc>
          <w:tcPr>
            <w:tcW w:type="dxa" w:w="2520"/>
          </w:tcPr>
          <w:p>
            <w:r>
              <w:t>CEO/CTO</w:t>
            </w:r>
          </w:p>
        </w:tc>
        <w:tc>
          <w:tcPr>
            <w:tcW w:type="dxa" w:w="2520"/>
          </w:tcPr>
          <w:p>
            <w:r>
              <w:t>Báo giá, biên bản bàn giao</w:t>
            </w:r>
          </w:p>
        </w:tc>
      </w:tr>
      <w:tr>
        <w:tc>
          <w:tcPr>
            <w:tcW w:type="dxa" w:w="2520"/>
          </w:tcPr>
          <w:p>
            <w:r>
              <w:t>Nhân sự</w:t>
            </w:r>
          </w:p>
        </w:tc>
        <w:tc>
          <w:tcPr>
            <w:tcW w:type="dxa" w:w="2520"/>
          </w:tcPr>
          <w:p>
            <w:r>
              <w:t>Lương, thưởng, đào tạo</w:t>
            </w:r>
          </w:p>
        </w:tc>
        <w:tc>
          <w:tcPr>
            <w:tcW w:type="dxa" w:w="2520"/>
          </w:tcPr>
          <w:p>
            <w:r>
              <w:t>HR/CEO</w:t>
            </w:r>
          </w:p>
        </w:tc>
        <w:tc>
          <w:tcPr>
            <w:tcW w:type="dxa" w:w="2520"/>
          </w:tcPr>
          <w:p>
            <w:r>
              <w:t>Danh sách được duyệt</w:t>
            </w:r>
          </w:p>
        </w:tc>
      </w:tr>
    </w:tbl>
    <w:p>
      <w:pPr>
        <w:pStyle w:val="Heading1"/>
      </w:pPr>
      <w:r>
        <w:t>3. Ngưỡng phê duyệt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tcPr>
          <w:p>
            <w:r>
              <w:rPr>
                <w:b/>
                <w:color w:val="FFFFFF"/>
              </w:rPr>
              <w:t>Giá trị</w:t>
            </w:r>
          </w:p>
        </w:tc>
        <w:tc>
          <w:tcPr>
            <w:tcW w:type="dxa" w:w="2520"/>
            <w:shd w:fill="1F4E78"/>
          </w:tcPr>
          <w:p>
            <w:r>
              <w:rPr>
                <w:b/>
                <w:color w:val="FFFFFF"/>
              </w:rPr>
              <w:t>Người đề nghị</w:t>
            </w:r>
          </w:p>
        </w:tc>
        <w:tc>
          <w:tcPr>
            <w:tcW w:type="dxa" w:w="2520"/>
            <w:shd w:fill="1F4E78"/>
          </w:tcPr>
          <w:p>
            <w:r>
              <w:rPr>
                <w:b/>
                <w:color w:val="FFFFFF"/>
              </w:rPr>
              <w:t>Phê duyệt tối thiểu</w:t>
            </w:r>
          </w:p>
        </w:tc>
        <w:tc>
          <w:tcPr>
            <w:tcW w:type="dxa" w:w="2520"/>
            <w:shd w:fill="1F4E78"/>
          </w:tcPr>
          <w:p>
            <w:r>
              <w:rPr>
                <w:b/>
                <w:color w:val="FFFFFF"/>
              </w:rPr>
              <w:t>Ghi chú</w:t>
            </w:r>
          </w:p>
        </w:tc>
      </w:tr>
      <w:tr>
        <w:tc>
          <w:tcPr>
            <w:tcW w:type="dxa" w:w="2520"/>
          </w:tcPr>
          <w:p>
            <w:r>
              <w:t>Dưới 2 triệu</w:t>
            </w:r>
          </w:p>
        </w:tc>
        <w:tc>
          <w:tcPr>
            <w:tcW w:type="dxa" w:w="2520"/>
          </w:tcPr>
          <w:p>
            <w:r>
              <w:t>Nhân viên</w:t>
            </w:r>
          </w:p>
        </w:tc>
        <w:tc>
          <w:tcPr>
            <w:tcW w:type="dxa" w:w="2520"/>
          </w:tcPr>
          <w:p>
            <w:r>
              <w:t>Manager</w:t>
            </w:r>
          </w:p>
        </w:tc>
        <w:tc>
          <w:tcPr>
            <w:tcW w:type="dxa" w:w="2520"/>
          </w:tcPr>
          <w:p>
            <w:r>
              <w:t>Trong ngân sách</w:t>
            </w:r>
          </w:p>
        </w:tc>
      </w:tr>
      <w:tr>
        <w:tc>
          <w:tcPr>
            <w:tcW w:type="dxa" w:w="2520"/>
          </w:tcPr>
          <w:p>
            <w:r>
              <w:t>2-20 triệu</w:t>
            </w:r>
          </w:p>
        </w:tc>
        <w:tc>
          <w:tcPr>
            <w:tcW w:type="dxa" w:w="2520"/>
          </w:tcPr>
          <w:p>
            <w:r>
              <w:t>Manager/PM</w:t>
            </w:r>
          </w:p>
        </w:tc>
        <w:tc>
          <w:tcPr>
            <w:tcW w:type="dxa" w:w="2520"/>
          </w:tcPr>
          <w:p>
            <w:r>
              <w:t>Finance Manager</w:t>
            </w:r>
          </w:p>
        </w:tc>
        <w:tc>
          <w:tcPr>
            <w:tcW w:type="dxa" w:w="2520"/>
          </w:tcPr>
          <w:p>
            <w:r>
              <w:t>Có báo giá hoặc căn cứ</w:t>
            </w:r>
          </w:p>
        </w:tc>
      </w:tr>
      <w:tr>
        <w:tc>
          <w:tcPr>
            <w:tcW w:type="dxa" w:w="2520"/>
          </w:tcPr>
          <w:p>
            <w:r>
              <w:t>20-100 triệu</w:t>
            </w:r>
          </w:p>
        </w:tc>
        <w:tc>
          <w:tcPr>
            <w:tcW w:type="dxa" w:w="2520"/>
          </w:tcPr>
          <w:p>
            <w:r>
              <w:t>Head/PM</w:t>
            </w:r>
          </w:p>
        </w:tc>
        <w:tc>
          <w:tcPr>
            <w:tcW w:type="dxa" w:w="2520"/>
          </w:tcPr>
          <w:p>
            <w:r>
              <w:t>CEO hoặc người được ủy quyền</w:t>
            </w:r>
          </w:p>
        </w:tc>
        <w:tc>
          <w:tcPr>
            <w:tcW w:type="dxa" w:w="2520"/>
          </w:tcPr>
          <w:p>
            <w:r>
              <w:t>So sánh nhà cung cấp</w:t>
            </w:r>
          </w:p>
        </w:tc>
      </w:tr>
      <w:tr>
        <w:tc>
          <w:tcPr>
            <w:tcW w:type="dxa" w:w="2520"/>
          </w:tcPr>
          <w:p>
            <w:r>
              <w:t>Trên 100 triệu</w:t>
            </w:r>
          </w:p>
        </w:tc>
        <w:tc>
          <w:tcPr>
            <w:tcW w:type="dxa" w:w="2520"/>
          </w:tcPr>
          <w:p>
            <w:r>
              <w:t>Ban điều hành</w:t>
            </w:r>
          </w:p>
        </w:tc>
        <w:tc>
          <w:tcPr>
            <w:tcW w:type="dxa" w:w="2520"/>
          </w:tcPr>
          <w:p>
            <w:r>
              <w:t>CEO + quyết định nội bộ</w:t>
            </w:r>
          </w:p>
        </w:tc>
        <w:tc>
          <w:tcPr>
            <w:tcW w:type="dxa" w:w="2520"/>
          </w:tcPr>
          <w:p>
            <w:r>
              <w:t>Có hợp đồng</w:t>
            </w:r>
          </w:p>
        </w:tc>
      </w:tr>
    </w:tbl>
    <w:p>
      <w:pPr>
        <w:pStyle w:val="Heading1"/>
      </w:pPr>
      <w:r>
        <w:t>4. Quy trình đề nghị thanh toán</w:t>
      </w:r>
    </w:p>
    <w:p>
      <w:pPr>
        <w:pStyle w:val="ListNumber"/>
      </w:pPr>
      <w:r>
        <w:t>Người đề nghị tạo phiếu và chọn đúng mã phòng ban hoặc dự án.</w:t>
      </w:r>
    </w:p>
    <w:p>
      <w:pPr>
        <w:pStyle w:val="ListNumber"/>
      </w:pPr>
      <w:r>
        <w:t>Đính kèm hợp đồng, báo giá, hóa đơn hoặc biên bản nghiệm thu phù hợp.</w:t>
      </w:r>
    </w:p>
    <w:p>
      <w:pPr>
        <w:pStyle w:val="ListNumber"/>
      </w:pPr>
      <w:r>
        <w:t>Hệ thống kiểm tra trùng hóa đơn, trùng số tiền và vượt ngân sách.</w:t>
      </w:r>
    </w:p>
    <w:p>
      <w:pPr>
        <w:pStyle w:val="ListNumber"/>
      </w:pPr>
      <w:r>
        <w:t>Người phê duyệt xem mục đích, nguồn ngân sách và chứng từ.</w:t>
      </w:r>
    </w:p>
    <w:p>
      <w:pPr>
        <w:pStyle w:val="ListNumber"/>
      </w:pPr>
      <w:r>
        <w:t>Finance thực hiện thanh toán, cập nhật mã giao dịch và lưu audit log.</w:t>
      </w:r>
    </w:p>
    <w:p>
      <w:pPr>
        <w:pStyle w:val="Heading1"/>
      </w:pPr>
      <w:r>
        <w:t>5. Tạm ứng và hoàn ứng</w:t>
      </w:r>
    </w:p>
    <w:p>
      <w:pPr>
        <w:pStyle w:val="ListBullet"/>
      </w:pPr>
      <w:r>
        <w:t>Tạm ứng phải nêu mục đích, thời gian sử dụng và người chịu trách nhiệm.</w:t>
      </w:r>
    </w:p>
    <w:p>
      <w:pPr>
        <w:pStyle w:val="ListBullet"/>
      </w:pPr>
      <w:r>
        <w:t>Hoàn ứng trong 5 ngày làm việc sau khi kết thúc công việc.</w:t>
      </w:r>
    </w:p>
    <w:p>
      <w:pPr>
        <w:pStyle w:val="ListBullet"/>
      </w:pPr>
      <w:r>
        <w:t>Khoản chưa hoàn ứng quá hạn sẽ bị cảnh báo và có thể tạm dừng phê duyệt khoản mới.</w:t>
      </w:r>
    </w:p>
    <w:p>
      <w:pPr>
        <w:pStyle w:val="Heading1"/>
      </w:pPr>
      <w:r>
        <w:t>6. Quản lý doanh thu và hóa đơn</w:t>
      </w:r>
    </w:p>
    <w:p>
      <w:pPr>
        <w:pStyle w:val="ListBullet"/>
      </w:pPr>
      <w:r>
        <w:t>Hóa đơn chỉ phát hành dựa trên hợp đồng, mốc thanh toán hoặc biên bản nghiệm thu hợp lệ.</w:t>
      </w:r>
    </w:p>
    <w:p>
      <w:pPr>
        <w:pStyle w:val="ListBullet"/>
      </w:pPr>
      <w:r>
        <w:t>Sales/PM không tự ý sửa giá trị hoặc điều khoản thanh toán sau khi hợp đồng đã ký.</w:t>
      </w:r>
    </w:p>
    <w:p>
      <w:pPr>
        <w:pStyle w:val="ListBullet"/>
      </w:pPr>
      <w:r>
        <w:t>Công nợ quá hạn phải được gắn mức rủi ro và chuyển người phụ trách theo dõi.</w:t>
      </w:r>
    </w:p>
    <w:p>
      <w:pPr>
        <w:pStyle w:val="Heading1"/>
      </w:pPr>
      <w:r>
        <w:t>7. Kiểm soát dữ liệu tài chính</w:t>
      </w:r>
    </w:p>
    <w:p>
      <w:pPr>
        <w:pStyle w:val="ListBullet"/>
      </w:pPr>
      <w:r>
        <w:t>Bảng lương, số tài khoản, báo cáo tài chính và giá trị hợp đồng là CONFIDENTIAL.</w:t>
      </w:r>
    </w:p>
    <w:p>
      <w:pPr>
        <w:pStyle w:val="ListBullet"/>
      </w:pPr>
      <w:r>
        <w:t>RAG không được trả về toàn bộ bảng lương; chỉ cho phép truy vấn bản ghi thuộc người dùng hiện tại hoặc vai trò được cấp.</w:t>
      </w:r>
    </w:p>
    <w:p>
      <w:pPr>
        <w:pStyle w:val="ListBullet"/>
      </w:pPr>
      <w:r>
        <w:t>Các câu hỏi tổng hợp doanh thu/chi phí phải ưu tiên SQL hoặc công cụ phân tích có kiểm soát thay vì suy luận từ vector chunks.</w:t>
      </w:r>
    </w:p>
    <w:p>
      <w:pPr>
        <w:pStyle w:val="Heading1"/>
      </w:pPr>
      <w:r>
        <w:t>8. Ngoại lệ và xử lý thất bại</w:t>
      </w:r>
    </w:p>
    <w:p>
      <w:pPr>
        <w:pStyle w:val="ListBullet"/>
      </w:pPr>
      <w:r>
        <w:t>Phiếu thiếu chứng từ chuyển trạng thái NEED_MORE_INFO.</w:t>
      </w:r>
    </w:p>
    <w:p>
      <w:pPr>
        <w:pStyle w:val="ListBullet"/>
      </w:pPr>
      <w:r>
        <w:t>Thanh toán thất bại được retry một lần sau khi Finance xác minh thông tin ngân hàng.</w:t>
      </w:r>
    </w:p>
    <w:p>
      <w:pPr>
        <w:pStyle w:val="ListBullet"/>
      </w:pPr>
      <w:r>
        <w:t>Yêu cầu bị từ chối phải nêu lý do và quay lại người đề nghị; không tạo phiếu mới nếu chỉ cần sửa thông tin.</w:t>
      </w:r>
    </w:p>
    <w:p>
      <w:pPr>
        <w:pStyle w:val="ListBullet"/>
      </w:pPr>
      <w:r>
        <w:t>Mỗi phiếu có idempotency key để tránh chi trùng.</w:t>
      </w:r>
    </w:p>
    <w:p/>
    <w:p>
      <w:r>
        <w:rPr>
          <w:i/>
        </w:rPr>
        <w:t>Lưu ý: Tài liệu này là dữ liệu giả lập phục vụ thử nghiệm Knowledge Base, RAG, phân quyền ACL và audit log. Trước khi áp dụng thực tế phải được bộ phận chuyên trách rà soát và phê duyệt.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