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NOVASOFT TECHNOLOGY JSC</w:t>
      </w:r>
    </w:p>
    <w:p>
      <w:pPr>
        <w:jc w:val="center"/>
      </w:pPr>
      <w:r>
        <w:rPr>
          <w:b/>
          <w:sz w:val="40"/>
        </w:rPr>
        <w:t>TIÊU CHUẨN KỸ THUẬT VÀ PHÁT TRIỂN PHẦN MỀM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Mã tài liệu</w:t>
            </w:r>
          </w:p>
        </w:tc>
        <w:tc>
          <w:tcPr>
            <w:tcW w:type="dxa" w:w="2520"/>
            <w:vAlign w:val="center"/>
          </w:tcPr>
          <w:p>
            <w:r>
              <w:t>ENG-STD-001</w:t>
            </w:r>
          </w:p>
        </w:tc>
        <w:tc>
          <w:tcPr>
            <w:tcW w:type="dxa" w:w="2520"/>
            <w:vAlign w:val="center"/>
            <w:shd w:fill="D9EAF7"/>
          </w:tcPr>
          <w:p>
            <w:r>
              <w:rPr>
                <w:b/>
              </w:rPr>
              <w:t>Phiên bản</w:t>
            </w:r>
          </w:p>
        </w:tc>
        <w:tc>
          <w:tcPr>
            <w:tcW w:type="dxa" w:w="2520"/>
            <w:vAlign w:val="center"/>
          </w:tcPr>
          <w:p>
            <w:r>
              <w:t>1.0</w:t>
            </w:r>
          </w:p>
        </w:tc>
      </w:tr>
      <w:tr>
        <w:tc>
          <w:tcPr>
            <w:tcW w:type="dxa" w:w="2520"/>
            <w:vAlign w:val="center"/>
            <w:shd w:fill="D9EAF7"/>
          </w:tcPr>
          <w:p>
            <w:r>
              <w:rPr>
                <w:b/>
              </w:rPr>
              <w:t>Collection</w:t>
            </w:r>
          </w:p>
        </w:tc>
        <w:tc>
          <w:tcPr>
            <w:tcW w:type="dxa" w:w="2520"/>
            <w:vAlign w:val="center"/>
          </w:tcPr>
          <w:p>
            <w:r>
              <w:t>engineering_standards</w:t>
            </w:r>
          </w:p>
        </w:tc>
        <w:tc>
          <w:tcPr>
            <w:tcW w:type="dxa" w:w="2520"/>
            <w:vAlign w:val="center"/>
            <w:shd w:fill="D9EAF7"/>
          </w:tcPr>
          <w:p>
            <w:r>
              <w:rPr>
                <w:b/>
              </w:rPr>
              <w:t>Trạng thái</w:t>
            </w:r>
          </w:p>
        </w:tc>
        <w:tc>
          <w:tcPr>
            <w:tcW w:type="dxa" w:w="2520"/>
            <w:vAlign w:val="center"/>
          </w:tcPr>
          <w:p>
            <w:r>
              <w:t>APPROVED</w:t>
            </w:r>
          </w:p>
        </w:tc>
      </w:tr>
      <w:tr>
        <w:tc>
          <w:tcPr>
            <w:tcW w:type="dxa" w:w="2520"/>
            <w:vAlign w:val="center"/>
            <w:shd w:fill="D9EAF7"/>
          </w:tcPr>
          <w:p>
            <w:r>
              <w:rPr>
                <w:b/>
              </w:rPr>
              <w:t>Chủ sở hữu</w:t>
            </w:r>
          </w:p>
        </w:tc>
        <w:tc>
          <w:tcPr>
            <w:tcW w:type="dxa" w:w="2520"/>
            <w:vAlign w:val="center"/>
          </w:tcPr>
          <w:p>
            <w:r>
              <w:t>ENGINEERING</w:t>
            </w:r>
          </w:p>
        </w:tc>
        <w:tc>
          <w:tcPr>
            <w:tcW w:type="dxa" w:w="2520"/>
            <w:vAlign w:val="center"/>
            <w:shd w:fill="D9EAF7"/>
          </w:tcPr>
          <w:p>
            <w:r>
              <w:rPr>
                <w:b/>
              </w:rPr>
              <w:t>Ngày hiệu lực</w:t>
            </w:r>
          </w:p>
        </w:tc>
        <w:tc>
          <w:tcPr>
            <w:tcW w:type="dxa" w:w="2520"/>
            <w:vAlign w:val="center"/>
          </w:tcPr>
          <w:p>
            <w:r>
              <w:t>01/08/2026</w:t>
            </w:r>
          </w:p>
        </w:tc>
      </w:tr>
      <w:tr>
        <w:tc>
          <w:tcPr>
            <w:tcW w:type="dxa" w:w="2520"/>
            <w:vAlign w:val="center"/>
            <w:shd w:fill="D9EAF7"/>
          </w:tcPr>
          <w:p>
            <w:r>
              <w:rPr>
                <w:b/>
              </w:rPr>
              <w:t>ACL</w:t>
            </w:r>
          </w:p>
        </w:tc>
        <w:tc>
          <w:tcPr>
            <w:tcW w:type="dxa" w:w="2520"/>
            <w:vAlign w:val="center"/>
          </w:tcPr>
          <w:p>
            <w:r>
              <w:t>Engineering, QA, DevOps; theo project ACL</w:t>
            </w:r>
          </w:p>
        </w:tc>
        <w:tc>
          <w:tcPr>
            <w:tcW w:type="dxa" w:w="2520"/>
            <w:vAlign w:val="center"/>
            <w:shd w:fill="D9EAF7"/>
          </w:tcPr>
          <w:p>
            <w:r>
              <w:rPr>
                <w:b/>
              </w:rPr>
              <w:t>Mức độ</w:t>
            </w:r>
          </w:p>
        </w:tc>
        <w:tc>
          <w:tcPr>
            <w:tcW w:type="dxa" w:w="2520"/>
            <w:vAlign w:val="center"/>
          </w:tcPr>
          <w:p>
            <w:r>
              <w:t>INTERNAL</w:t>
            </w:r>
          </w:p>
        </w:tc>
      </w:tr>
    </w:tbl>
    <w:p/>
    <w:p>
      <w:pPr>
        <w:pStyle w:val="Heading1"/>
      </w:pPr>
      <w:r>
        <w:t>1. Mục đích và phạm vi</w:t>
      </w:r>
    </w:p>
    <w:p>
      <w:r>
        <w:t>Tài liệu quy định tiêu chuẩn kiến trúc, mã nguồn, API, database, kiểm thử, CI/CD, logging và quản lý thay đổi kỹ thuật.</w:t>
      </w:r>
    </w:p>
    <w:p>
      <w:pPr>
        <w:pStyle w:val="Heading1"/>
      </w:pPr>
      <w:r>
        <w:t>2. Kiến trúc và quyết định kỹ thuật</w:t>
      </w:r>
    </w:p>
    <w:p>
      <w:pPr>
        <w:pStyle w:val="ListBullet"/>
      </w:pPr>
      <w:r>
        <w:t>Mọi hệ thống phải có sơ đồ thành phần, luồng dữ liệu, dependency và điểm tích hợp.</w:t>
      </w:r>
    </w:p>
    <w:p>
      <w:pPr>
        <w:pStyle w:val="ListBullet"/>
      </w:pPr>
      <w:r>
        <w:t>Quyết định quan trọng được ghi bằng ADR, gồm bối cảnh, lựa chọn, lý do và hệ quả.</w:t>
      </w:r>
    </w:p>
    <w:p>
      <w:pPr>
        <w:pStyle w:val="ListBullet"/>
      </w:pPr>
      <w:r>
        <w:t>Không đưa secret, token hoặc mật khẩu vào tài liệu kiến trúc hay mã nguồn.</w:t>
      </w:r>
    </w:p>
    <w:p>
      <w:pPr>
        <w:pStyle w:val="Heading1"/>
      </w:pPr>
      <w:r>
        <w:t>3. Quản lý mã nguồn</w:t>
      </w:r>
    </w:p>
    <w:p>
      <w:pPr>
        <w:pStyle w:val="ListBullet"/>
      </w:pPr>
      <w:r>
        <w:t>Nhánh chính được bảo vệ; thay đổi phải qua pull request và ít nhất một reviewer.</w:t>
      </w:r>
    </w:p>
    <w:p>
      <w:pPr>
        <w:pStyle w:val="ListBullet"/>
      </w:pPr>
      <w:r>
        <w:t>Commit message nêu rõ loại thay đổi và phạm vi.</w:t>
      </w:r>
    </w:p>
    <w:p>
      <w:pPr>
        <w:pStyle w:val="ListBullet"/>
      </w:pPr>
      <w:r>
        <w:t>Không merge khi CI thất bại hoặc còn comment chặn.</w:t>
      </w:r>
    </w:p>
    <w:p>
      <w:pPr>
        <w:pStyle w:val="ListBullet"/>
      </w:pPr>
      <w:r>
        <w:t>Dependency mới phải được kiểm tra license và rủi ro bảo mật.</w:t>
      </w:r>
    </w:p>
    <w:p>
      <w:pPr>
        <w:pStyle w:val="Heading1"/>
      </w:pPr>
      <w:r>
        <w:t>4. Tiêu chuẩn API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rPr>
              <w:t>Hạng mục</w:t>
            </w:r>
          </w:p>
        </w:tc>
        <w:tc>
          <w:tcPr>
            <w:tcW w:type="dxa" w:w="5040"/>
            <w:shd w:fill="1F4E78"/>
          </w:tcPr>
          <w:p>
            <w:r>
              <w:rPr>
                <w:b/>
                <w:color w:val="FFFFFF"/>
              </w:rPr>
              <w:t>Quy định</w:t>
            </w:r>
          </w:p>
        </w:tc>
      </w:tr>
      <w:tr>
        <w:tc>
          <w:tcPr>
            <w:tcW w:type="dxa" w:w="5040"/>
          </w:tcPr>
          <w:p>
            <w:r>
              <w:t>Versioning</w:t>
            </w:r>
          </w:p>
        </w:tc>
        <w:tc>
          <w:tcPr>
            <w:tcW w:type="dxa" w:w="5040"/>
          </w:tcPr>
          <w:p>
            <w:r>
              <w:t>API public phải có version rõ ràng</w:t>
            </w:r>
          </w:p>
        </w:tc>
      </w:tr>
      <w:tr>
        <w:tc>
          <w:tcPr>
            <w:tcW w:type="dxa" w:w="5040"/>
          </w:tcPr>
          <w:p>
            <w:r>
              <w:t>Authentication</w:t>
            </w:r>
          </w:p>
        </w:tc>
        <w:tc>
          <w:tcPr>
            <w:tcW w:type="dxa" w:w="5040"/>
          </w:tcPr>
          <w:p>
            <w:r>
              <w:t>Dùng cơ chế chuẩn; không truyền secret trong URL</w:t>
            </w:r>
          </w:p>
        </w:tc>
      </w:tr>
      <w:tr>
        <w:tc>
          <w:tcPr>
            <w:tcW w:type="dxa" w:w="5040"/>
          </w:tcPr>
          <w:p>
            <w:r>
              <w:t>Validation</w:t>
            </w:r>
          </w:p>
        </w:tc>
        <w:tc>
          <w:tcPr>
            <w:tcW w:type="dxa" w:w="5040"/>
          </w:tcPr>
          <w:p>
            <w:r>
              <w:t>Kiểm tra schema, kiểu, độ dài và quyền truy cập</w:t>
            </w:r>
          </w:p>
        </w:tc>
      </w:tr>
      <w:tr>
        <w:tc>
          <w:tcPr>
            <w:tcW w:type="dxa" w:w="5040"/>
          </w:tcPr>
          <w:p>
            <w:r>
              <w:t>Error</w:t>
            </w:r>
          </w:p>
        </w:tc>
        <w:tc>
          <w:tcPr>
            <w:tcW w:type="dxa" w:w="5040"/>
          </w:tcPr>
          <w:p>
            <w:r>
              <w:t>Mã lỗi ổn định, không lộ stack trace</w:t>
            </w:r>
          </w:p>
        </w:tc>
      </w:tr>
      <w:tr>
        <w:tc>
          <w:tcPr>
            <w:tcW w:type="dxa" w:w="5040"/>
          </w:tcPr>
          <w:p>
            <w:r>
              <w:t>Idempotency</w:t>
            </w:r>
          </w:p>
        </w:tc>
        <w:tc>
          <w:tcPr>
            <w:tcW w:type="dxa" w:w="5040"/>
          </w:tcPr>
          <w:p>
            <w:r>
              <w:t>Bắt buộc cho thanh toán, tạo đơn, webhook quan trọng</w:t>
            </w:r>
          </w:p>
        </w:tc>
      </w:tr>
      <w:tr>
        <w:tc>
          <w:tcPr>
            <w:tcW w:type="dxa" w:w="5040"/>
          </w:tcPr>
          <w:p>
            <w:r>
              <w:t>Observability</w:t>
            </w:r>
          </w:p>
        </w:tc>
        <w:tc>
          <w:tcPr>
            <w:tcW w:type="dxa" w:w="5040"/>
          </w:tcPr>
          <w:p>
            <w:r>
              <w:t>Có request ID, log mức phù hợp và metric</w:t>
            </w:r>
          </w:p>
        </w:tc>
      </w:tr>
    </w:tbl>
    <w:p>
      <w:pPr>
        <w:pStyle w:val="Heading1"/>
      </w:pPr>
      <w:r>
        <w:t>5. Database và migration</w:t>
      </w:r>
    </w:p>
    <w:p>
      <w:pPr>
        <w:pStyle w:val="ListBullet"/>
      </w:pPr>
      <w:r>
        <w:t>Schema thay đổi qua migration có version và được review.</w:t>
      </w:r>
    </w:p>
    <w:p>
      <w:pPr>
        <w:pStyle w:val="ListBullet"/>
      </w:pPr>
      <w:r>
        <w:t>Không sửa trực tiếp database production nếu chưa có change record.</w:t>
      </w:r>
    </w:p>
    <w:p>
      <w:pPr>
        <w:pStyle w:val="ListBullet"/>
      </w:pPr>
      <w:r>
        <w:t>Transaction được dùng cho nghiệp vụ cần tính nhất quán như tạo đơn và cập nhật tồn kho.</w:t>
      </w:r>
    </w:p>
    <w:p>
      <w:pPr>
        <w:pStyle w:val="ListBullet"/>
      </w:pPr>
      <w:r>
        <w:t>Có backup, kiểm thử restore và kế hoạch rollback cho migration rủi ro.</w:t>
      </w:r>
    </w:p>
    <w:p>
      <w:pPr>
        <w:pStyle w:val="Heading1"/>
      </w:pPr>
      <w:r>
        <w:t>6. Kiểm thử</w:t>
      </w:r>
    </w:p>
    <w:p>
      <w:pPr>
        <w:pStyle w:val="ListBullet"/>
      </w:pPr>
      <w:r>
        <w:t>Unit test cho business logic quan trọng.</w:t>
      </w:r>
    </w:p>
    <w:p>
      <w:pPr>
        <w:pStyle w:val="ListBullet"/>
      </w:pPr>
      <w:r>
        <w:t>Integration test cho database, queue, payment và dịch vụ ngoài.</w:t>
      </w:r>
    </w:p>
    <w:p>
      <w:pPr>
        <w:pStyle w:val="ListBullet"/>
      </w:pPr>
      <w:r>
        <w:t>E2E test cho luồng người dùng trọng yếu.</w:t>
      </w:r>
    </w:p>
    <w:p>
      <w:pPr>
        <w:pStyle w:val="ListBullet"/>
      </w:pPr>
      <w:r>
        <w:t>Test data không sử dụng dữ liệu cá nhân production chưa được ẩn danh.</w:t>
      </w:r>
    </w:p>
    <w:p>
      <w:pPr>
        <w:pStyle w:val="Heading1"/>
      </w:pPr>
      <w:r>
        <w:t>7. CI/CD và triển khai</w:t>
      </w:r>
    </w:p>
    <w:p>
      <w:pPr>
        <w:pStyle w:val="ListNumber"/>
      </w:pPr>
      <w:r>
        <w:t>Build và kiểm thử tự động.</w:t>
      </w:r>
    </w:p>
    <w:p>
      <w:pPr>
        <w:pStyle w:val="ListNumber"/>
      </w:pPr>
      <w:r>
        <w:t>Quét dependency và secret.</w:t>
      </w:r>
    </w:p>
    <w:p>
      <w:pPr>
        <w:pStyle w:val="ListNumber"/>
      </w:pPr>
      <w:r>
        <w:t>Tạo artifact bất biến, có version.</w:t>
      </w:r>
    </w:p>
    <w:p>
      <w:pPr>
        <w:pStyle w:val="ListNumber"/>
      </w:pPr>
      <w:r>
        <w:t>Triển khai staging và chạy smoke test.</w:t>
      </w:r>
    </w:p>
    <w:p>
      <w:pPr>
        <w:pStyle w:val="ListNumber"/>
      </w:pPr>
      <w:r>
        <w:t>Phê duyệt production theo mức rủi ro.</w:t>
      </w:r>
    </w:p>
    <w:p>
      <w:pPr>
        <w:pStyle w:val="ListNumber"/>
      </w:pPr>
      <w:r>
        <w:t>Theo dõi metric và rollback khi vượt ngưỡng lỗi.</w:t>
      </w:r>
    </w:p>
    <w:p>
      <w:pPr>
        <w:pStyle w:val="Heading1"/>
      </w:pPr>
      <w:r>
        <w:t>8. Logging và vận hành</w:t>
      </w:r>
    </w:p>
    <w:p>
      <w:pPr>
        <w:pStyle w:val="ListBullet"/>
      </w:pPr>
      <w:r>
        <w:t>Log không chứa mật khẩu, token, dữ liệu thẻ hoặc dữ liệu cá nhân không cần thiết.</w:t>
      </w:r>
    </w:p>
    <w:p>
      <w:pPr>
        <w:pStyle w:val="ListBullet"/>
      </w:pPr>
      <w:r>
        <w:t>Mọi sự kiện quan trọng có correlation ID.</w:t>
      </w:r>
    </w:p>
    <w:p>
      <w:pPr>
        <w:pStyle w:val="ListBullet"/>
      </w:pPr>
      <w:r>
        <w:t>Runbook mô tả cách xử lý lỗi phổ biến, owner và điều kiện escalation.</w:t>
      </w:r>
    </w:p>
    <w:p>
      <w:pPr>
        <w:pStyle w:val="ListBullet"/>
      </w:pPr>
      <w:r>
        <w:t>Postmortem tập trung nguyên nhân hệ thống và hành động phòng ngừa.</w:t>
      </w:r>
    </w:p>
    <w:p>
      <w:pPr>
        <w:pStyle w:val="Heading1"/>
      </w:pPr>
      <w:r>
        <w:t>9. Quy tắc dùng RAG cho tài liệu kỹ thuật</w:t>
      </w:r>
    </w:p>
    <w:p>
      <w:pPr>
        <w:pStyle w:val="ListBullet"/>
      </w:pPr>
      <w:r>
        <w:t>Chunk theo heading, endpoint, module hoặc ADR thay vì cắt token mù.</w:t>
      </w:r>
    </w:p>
    <w:p>
      <w:pPr>
        <w:pStyle w:val="ListBullet"/>
      </w:pPr>
      <w:r>
        <w:t>Metadata cần có project, service, version, environment, status và owner.</w:t>
      </w:r>
    </w:p>
    <w:p>
      <w:pPr>
        <w:pStyle w:val="ListBullet"/>
      </w:pPr>
      <w:r>
        <w:t>Ưu tiên tài liệu production hiện hành; tài liệu superseded chỉ dùng để tham khảo lịch sử.</w:t>
      </w:r>
    </w:p>
    <w:p>
      <w:pPr>
        <w:pStyle w:val="ListBullet"/>
      </w:pPr>
      <w:r>
        <w:t>Không ingest file .env, private key, credential dump hoặc log có secret.</w:t>
      </w:r>
    </w:p>
    <w:p/>
    <w:p>
      <w:r>
        <w:rPr>
          <w:i/>
        </w:rPr>
        <w:t>Lưu ý: Tài liệu này là dữ liệu giả lập phục vụ thử nghiệm Knowledge Base, RAG, phân quyền ACL và audit log. Trước khi áp dụng thực tế phải được bộ phận chuyên trách rà soát và phê duyệt.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