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NOVASOFT TECHNOLOGY JSC</w:t>
      </w:r>
    </w:p>
    <w:p>
      <w:pPr>
        <w:jc w:val="center"/>
      </w:pPr>
      <w:r>
        <w:rPr>
          <w:b/>
          <w:sz w:val="40"/>
        </w:rPr>
        <w:t>CHÍNH SÁCH AN TOÀN THÔNG TIN VÀ ỨNG PHÓ SỰ CỐ</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rPr>
              <w:t>Mã tài liệu</w:t>
            </w:r>
          </w:p>
        </w:tc>
        <w:tc>
          <w:tcPr>
            <w:tcW w:type="dxa" w:w="2520"/>
            <w:vAlign w:val="center"/>
          </w:tcPr>
          <w:p>
            <w:r>
              <w:t>SEC-POL-001</w:t>
            </w:r>
          </w:p>
        </w:tc>
        <w:tc>
          <w:tcPr>
            <w:tcW w:type="dxa" w:w="2520"/>
            <w:vAlign w:val="center"/>
            <w:shd w:fill="D9EAF7"/>
          </w:tcPr>
          <w:p>
            <w:r>
              <w:rPr>
                <w:b/>
              </w:rPr>
              <w:t>Phiên bản</w:t>
            </w:r>
          </w:p>
        </w:tc>
        <w:tc>
          <w:tcPr>
            <w:tcW w:type="dxa" w:w="2520"/>
            <w:vAlign w:val="center"/>
          </w:tcPr>
          <w:p>
            <w:r>
              <w:t>1.0</w:t>
            </w:r>
          </w:p>
        </w:tc>
      </w:tr>
      <w:tr>
        <w:tc>
          <w:tcPr>
            <w:tcW w:type="dxa" w:w="2520"/>
            <w:vAlign w:val="center"/>
            <w:shd w:fill="D9EAF7"/>
          </w:tcPr>
          <w:p>
            <w:r>
              <w:rPr>
                <w:b/>
              </w:rPr>
              <w:t>Collection</w:t>
            </w:r>
          </w:p>
        </w:tc>
        <w:tc>
          <w:tcPr>
            <w:tcW w:type="dxa" w:w="2520"/>
            <w:vAlign w:val="center"/>
          </w:tcPr>
          <w:p>
            <w:r>
              <w:t>security_restricted</w:t>
            </w:r>
          </w:p>
        </w:tc>
        <w:tc>
          <w:tcPr>
            <w:tcW w:type="dxa" w:w="2520"/>
            <w:vAlign w:val="center"/>
            <w:shd w:fill="D9EAF7"/>
          </w:tcPr>
          <w:p>
            <w:r>
              <w:rPr>
                <w:b/>
              </w:rPr>
              <w:t>Trạng thái</w:t>
            </w:r>
          </w:p>
        </w:tc>
        <w:tc>
          <w:tcPr>
            <w:tcW w:type="dxa" w:w="2520"/>
            <w:vAlign w:val="center"/>
          </w:tcPr>
          <w:p>
            <w:r>
              <w:t>APPROVED</w:t>
            </w:r>
          </w:p>
        </w:tc>
      </w:tr>
      <w:tr>
        <w:tc>
          <w:tcPr>
            <w:tcW w:type="dxa" w:w="2520"/>
            <w:vAlign w:val="center"/>
            <w:shd w:fill="D9EAF7"/>
          </w:tcPr>
          <w:p>
            <w:r>
              <w:rPr>
                <w:b/>
              </w:rPr>
              <w:t>Chủ sở hữu</w:t>
            </w:r>
          </w:p>
        </w:tc>
        <w:tc>
          <w:tcPr>
            <w:tcW w:type="dxa" w:w="2520"/>
            <w:vAlign w:val="center"/>
          </w:tcPr>
          <w:p>
            <w:r>
              <w:t>SECURITY</w:t>
            </w:r>
          </w:p>
        </w:tc>
        <w:tc>
          <w:tcPr>
            <w:tcW w:type="dxa" w:w="2520"/>
            <w:vAlign w:val="center"/>
            <w:shd w:fill="D9EAF7"/>
          </w:tcPr>
          <w:p>
            <w:r>
              <w:rPr>
                <w:b/>
              </w:rPr>
              <w:t>Ngày hiệu lực</w:t>
            </w:r>
          </w:p>
        </w:tc>
        <w:tc>
          <w:tcPr>
            <w:tcW w:type="dxa" w:w="2520"/>
            <w:vAlign w:val="center"/>
          </w:tcPr>
          <w:p>
            <w:r>
              <w:t>01/08/2026</w:t>
            </w:r>
          </w:p>
        </w:tc>
      </w:tr>
      <w:tr>
        <w:tc>
          <w:tcPr>
            <w:tcW w:type="dxa" w:w="2520"/>
            <w:vAlign w:val="center"/>
            <w:shd w:fill="D9EAF7"/>
          </w:tcPr>
          <w:p>
            <w:r>
              <w:rPr>
                <w:b/>
              </w:rPr>
              <w:t>ACL</w:t>
            </w:r>
          </w:p>
        </w:tc>
        <w:tc>
          <w:tcPr>
            <w:tcW w:type="dxa" w:w="2520"/>
            <w:vAlign w:val="center"/>
          </w:tcPr>
          <w:p>
            <w:r>
              <w:t>Security, CTO, IT Admin; nhân viên xem phần được công bố</w:t>
            </w:r>
          </w:p>
        </w:tc>
        <w:tc>
          <w:tcPr>
            <w:tcW w:type="dxa" w:w="2520"/>
            <w:vAlign w:val="center"/>
            <w:shd w:fill="D9EAF7"/>
          </w:tcPr>
          <w:p>
            <w:r>
              <w:rPr>
                <w:b/>
              </w:rPr>
              <w:t>Mức độ</w:t>
            </w:r>
          </w:p>
        </w:tc>
        <w:tc>
          <w:tcPr>
            <w:tcW w:type="dxa" w:w="2520"/>
            <w:vAlign w:val="center"/>
          </w:tcPr>
          <w:p>
            <w:r>
              <w:t>INTERNAL</w:t>
            </w:r>
          </w:p>
        </w:tc>
      </w:tr>
    </w:tbl>
    <w:p/>
    <w:p>
      <w:pPr>
        <w:pStyle w:val="Heading1"/>
      </w:pPr>
      <w:r>
        <w:t>1. Mục đích và phạm vi</w:t>
      </w:r>
    </w:p>
    <w:p>
      <w:r>
        <w:t>Chính sách bảo vệ dữ liệu, tài khoản, thiết bị và hệ thống; quy định phát hiện, báo cáo, xử lý và khôi phục sự cố an toàn thông tin.</w:t>
      </w:r>
    </w:p>
    <w:p>
      <w:pPr>
        <w:pStyle w:val="Heading1"/>
      </w:pPr>
      <w:r>
        <w:t>2. Phân loại thông tin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Pr>
          <w:p>
            <w:r>
              <w:rPr>
                <w:b/>
                <w:color w:val="FFFFFF"/>
              </w:rPr>
              <w:t>Mức</w:t>
            </w:r>
          </w:p>
        </w:tc>
        <w:tc>
          <w:tcPr>
            <w:tcW w:type="dxa" w:w="3360"/>
            <w:shd w:fill="1F4E78"/>
          </w:tcPr>
          <w:p>
            <w:r>
              <w:rPr>
                <w:b/>
                <w:color w:val="FFFFFF"/>
              </w:rPr>
              <w:t>Ví dụ</w:t>
            </w:r>
          </w:p>
        </w:tc>
        <w:tc>
          <w:tcPr>
            <w:tcW w:type="dxa" w:w="3360"/>
            <w:shd w:fill="1F4E78"/>
          </w:tcPr>
          <w:p>
            <w:r>
              <w:rPr>
                <w:b/>
                <w:color w:val="FFFFFF"/>
              </w:rPr>
              <w:t>Cách xử lý</w:t>
            </w:r>
          </w:p>
        </w:tc>
      </w:tr>
      <w:tr>
        <w:tc>
          <w:tcPr>
            <w:tcW w:type="dxa" w:w="3360"/>
          </w:tcPr>
          <w:p>
            <w:r>
              <w:t>PUBLIC</w:t>
            </w:r>
          </w:p>
        </w:tc>
        <w:tc>
          <w:tcPr>
            <w:tcW w:type="dxa" w:w="3360"/>
          </w:tcPr>
          <w:p>
            <w:r>
              <w:t>Website, tài liệu marketing</w:t>
            </w:r>
          </w:p>
        </w:tc>
        <w:tc>
          <w:tcPr>
            <w:tcW w:type="dxa" w:w="3360"/>
          </w:tcPr>
          <w:p>
            <w:r>
              <w:t>Được công bố sau phê duyệt</w:t>
            </w:r>
          </w:p>
        </w:tc>
      </w:tr>
      <w:tr>
        <w:tc>
          <w:tcPr>
            <w:tcW w:type="dxa" w:w="3360"/>
          </w:tcPr>
          <w:p>
            <w:r>
              <w:t>INTERNAL</w:t>
            </w:r>
          </w:p>
        </w:tc>
        <w:tc>
          <w:tcPr>
            <w:tcW w:type="dxa" w:w="3360"/>
          </w:tcPr>
          <w:p>
            <w:r>
              <w:t>Quy trình, hướng dẫn nội bộ</w:t>
            </w:r>
          </w:p>
        </w:tc>
        <w:tc>
          <w:tcPr>
            <w:tcW w:type="dxa" w:w="3360"/>
          </w:tcPr>
          <w:p>
            <w:r>
              <w:t>Chỉ tài khoản công ty</w:t>
            </w:r>
          </w:p>
        </w:tc>
      </w:tr>
      <w:tr>
        <w:tc>
          <w:tcPr>
            <w:tcW w:type="dxa" w:w="3360"/>
          </w:tcPr>
          <w:p>
            <w:r>
              <w:t>CONFIDENTIAL</w:t>
            </w:r>
          </w:p>
        </w:tc>
        <w:tc>
          <w:tcPr>
            <w:tcW w:type="dxa" w:w="3360"/>
          </w:tcPr>
          <w:p>
            <w:r>
              <w:t>Hợp đồng, lương, dữ liệu khách hàng</w:t>
            </w:r>
          </w:p>
        </w:tc>
        <w:tc>
          <w:tcPr>
            <w:tcW w:type="dxa" w:w="3360"/>
          </w:tcPr>
          <w:p>
            <w:r>
              <w:t>ACL chặt, mã hóa, audit</w:t>
            </w:r>
          </w:p>
        </w:tc>
      </w:tr>
      <w:tr>
        <w:tc>
          <w:tcPr>
            <w:tcW w:type="dxa" w:w="3360"/>
          </w:tcPr>
          <w:p>
            <w:r>
              <w:t>RESTRICTED</w:t>
            </w:r>
          </w:p>
        </w:tc>
        <w:tc>
          <w:tcPr>
            <w:tcW w:type="dxa" w:w="3360"/>
          </w:tcPr>
          <w:p>
            <w:r>
              <w:t>Secret, private key, dữ liệu bảo mật cao</w:t>
            </w:r>
          </w:p>
        </w:tc>
        <w:tc>
          <w:tcPr>
            <w:tcW w:type="dxa" w:w="3360"/>
          </w:tcPr>
          <w:p>
            <w:r>
              <w:t>Không đưa vào RAG; lưu vault</w:t>
            </w:r>
          </w:p>
        </w:tc>
      </w:tr>
    </w:tbl>
    <w:p>
      <w:pPr>
        <w:pStyle w:val="Heading1"/>
      </w:pPr>
      <w:r>
        <w:t>3. Kiểm soát truy cập</w:t>
      </w:r>
    </w:p>
    <w:p>
      <w:pPr>
        <w:pStyle w:val="ListBullet"/>
      </w:pPr>
      <w:r>
        <w:t>Áp dụng least privilege và role-based access control.</w:t>
      </w:r>
    </w:p>
    <w:p>
      <w:pPr>
        <w:pStyle w:val="ListBullet"/>
      </w:pPr>
      <w:r>
        <w:t>MFA bắt buộc cho email, cloud, source repository và tài khoản quản trị.</w:t>
      </w:r>
    </w:p>
    <w:p>
      <w:pPr>
        <w:pStyle w:val="ListBullet"/>
      </w:pPr>
      <w:r>
        <w:t>Quyền tạm thời phải có thời hạn và tự động thu hồi.</w:t>
      </w:r>
    </w:p>
    <w:p>
      <w:pPr>
        <w:pStyle w:val="ListBullet"/>
      </w:pPr>
      <w:r>
        <w:t>Khi nhân viên nghỉ việc hoặc đổi vai trò, quyền được thu hồi hoặc điều chỉnh theo checklist.</w:t>
      </w:r>
    </w:p>
    <w:p>
      <w:pPr>
        <w:pStyle w:val="Heading1"/>
      </w:pPr>
      <w:r>
        <w:t>4. Thiết bị và dữ liệu</w:t>
      </w:r>
    </w:p>
    <w:p>
      <w:pPr>
        <w:pStyle w:val="ListBullet"/>
      </w:pPr>
      <w:r>
        <w:t>Thiết bị công ty phải bật mã hóa ổ đĩa, khóa màn hình và phần mềm bảo vệ được phê duyệt.</w:t>
      </w:r>
    </w:p>
    <w:p>
      <w:pPr>
        <w:pStyle w:val="ListBullet"/>
      </w:pPr>
      <w:r>
        <w:t>Không lưu dữ liệu khách hàng vào thiết bị cá nhân hoặc dịch vụ cloud cá nhân.</w:t>
      </w:r>
    </w:p>
    <w:p>
      <w:pPr>
        <w:pStyle w:val="ListBullet"/>
      </w:pPr>
      <w:r>
        <w:t>Dữ liệu nhạy cảm truyền qua kênh mã hóa; bản sao phải tuân thủ retention policy.</w:t>
      </w:r>
    </w:p>
    <w:p>
      <w:pPr>
        <w:pStyle w:val="Heading1"/>
      </w:pPr>
      <w:r>
        <w:t>5. Quản lý lỗ hổng và bản vá</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Pr>
          <w:p>
            <w:r>
              <w:rPr>
                <w:b/>
                <w:color w:val="FFFFFF"/>
              </w:rPr>
              <w:t>Mức độ</w:t>
            </w:r>
          </w:p>
        </w:tc>
        <w:tc>
          <w:tcPr>
            <w:tcW w:type="dxa" w:w="3360"/>
            <w:shd w:fill="1F4E78"/>
          </w:tcPr>
          <w:p>
            <w:r>
              <w:rPr>
                <w:b/>
                <w:color w:val="FFFFFF"/>
              </w:rPr>
              <w:t>Thời hạn xử lý mục tiêu</w:t>
            </w:r>
          </w:p>
        </w:tc>
        <w:tc>
          <w:tcPr>
            <w:tcW w:type="dxa" w:w="3360"/>
            <w:shd w:fill="1F4E78"/>
          </w:tcPr>
          <w:p>
            <w:r>
              <w:rPr>
                <w:b/>
                <w:color w:val="FFFFFF"/>
              </w:rPr>
              <w:t>Hành động</w:t>
            </w:r>
          </w:p>
        </w:tc>
      </w:tr>
      <w:tr>
        <w:tc>
          <w:tcPr>
            <w:tcW w:type="dxa" w:w="3360"/>
          </w:tcPr>
          <w:p>
            <w:r>
              <w:t>Critical</w:t>
            </w:r>
          </w:p>
        </w:tc>
        <w:tc>
          <w:tcPr>
            <w:tcW w:type="dxa" w:w="3360"/>
          </w:tcPr>
          <w:p>
            <w:r>
              <w:t>24 giờ</w:t>
            </w:r>
          </w:p>
        </w:tc>
        <w:tc>
          <w:tcPr>
            <w:tcW w:type="dxa" w:w="3360"/>
          </w:tcPr>
          <w:p>
            <w:r>
              <w:t>Cô lập, vá khẩn hoặc giảm thiểu</w:t>
            </w:r>
          </w:p>
        </w:tc>
      </w:tr>
      <w:tr>
        <w:tc>
          <w:tcPr>
            <w:tcW w:type="dxa" w:w="3360"/>
          </w:tcPr>
          <w:p>
            <w:r>
              <w:t>High</w:t>
            </w:r>
          </w:p>
        </w:tc>
        <w:tc>
          <w:tcPr>
            <w:tcW w:type="dxa" w:w="3360"/>
          </w:tcPr>
          <w:p>
            <w:r>
              <w:t>7 ngày</w:t>
            </w:r>
          </w:p>
        </w:tc>
        <w:tc>
          <w:tcPr>
            <w:tcW w:type="dxa" w:w="3360"/>
          </w:tcPr>
          <w:p>
            <w:r>
              <w:t>Ưu tiên sprint gần nhất</w:t>
            </w:r>
          </w:p>
        </w:tc>
      </w:tr>
      <w:tr>
        <w:tc>
          <w:tcPr>
            <w:tcW w:type="dxa" w:w="3360"/>
          </w:tcPr>
          <w:p>
            <w:r>
              <w:t>Medium</w:t>
            </w:r>
          </w:p>
        </w:tc>
        <w:tc>
          <w:tcPr>
            <w:tcW w:type="dxa" w:w="3360"/>
          </w:tcPr>
          <w:p>
            <w:r>
              <w:t>30 ngày</w:t>
            </w:r>
          </w:p>
        </w:tc>
        <w:tc>
          <w:tcPr>
            <w:tcW w:type="dxa" w:w="3360"/>
          </w:tcPr>
          <w:p>
            <w:r>
              <w:t>Theo kế hoạch</w:t>
            </w:r>
          </w:p>
        </w:tc>
      </w:tr>
      <w:tr>
        <w:tc>
          <w:tcPr>
            <w:tcW w:type="dxa" w:w="3360"/>
          </w:tcPr>
          <w:p>
            <w:r>
              <w:t>Low</w:t>
            </w:r>
          </w:p>
        </w:tc>
        <w:tc>
          <w:tcPr>
            <w:tcW w:type="dxa" w:w="3360"/>
          </w:tcPr>
          <w:p>
            <w:r>
              <w:t>90 ngày</w:t>
            </w:r>
          </w:p>
        </w:tc>
        <w:tc>
          <w:tcPr>
            <w:tcW w:type="dxa" w:w="3360"/>
          </w:tcPr>
          <w:p>
            <w:r>
              <w:t>Theo dõi và xử lý phù hợp</w:t>
            </w:r>
          </w:p>
        </w:tc>
      </w:tr>
    </w:tbl>
    <w:p>
      <w:pPr>
        <w:pStyle w:val="Heading1"/>
      </w:pPr>
      <w:r>
        <w:t>6. Quy trình ứng phó sự cố</w:t>
      </w:r>
    </w:p>
    <w:p>
      <w:pPr>
        <w:pStyle w:val="ListNumber"/>
      </w:pPr>
      <w:r>
        <w:t>Phát hiện và ghi nhận thời gian, hệ thống, người báo cáo.</w:t>
      </w:r>
    </w:p>
    <w:p>
      <w:pPr>
        <w:pStyle w:val="ListNumber"/>
      </w:pPr>
      <w:r>
        <w:t>Phân loại mức độ và kích hoạt người phụ trách.</w:t>
      </w:r>
    </w:p>
    <w:p>
      <w:pPr>
        <w:pStyle w:val="ListNumber"/>
      </w:pPr>
      <w:r>
        <w:t>Cô lập để hạn chế ảnh hưởng nhưng bảo toàn chứng cứ.</w:t>
      </w:r>
    </w:p>
    <w:p>
      <w:pPr>
        <w:pStyle w:val="ListNumber"/>
      </w:pPr>
      <w:r>
        <w:t>Điều tra nguyên nhân, phạm vi dữ liệu và tài khoản bị ảnh hưởng.</w:t>
      </w:r>
    </w:p>
    <w:p>
      <w:pPr>
        <w:pStyle w:val="ListNumber"/>
      </w:pPr>
      <w:r>
        <w:t>Khôi phục từ trạng thái an toàn, giám sát tái diễn.</w:t>
      </w:r>
    </w:p>
    <w:p>
      <w:pPr>
        <w:pStyle w:val="ListNumber"/>
      </w:pPr>
      <w:r>
        <w:t>Thông báo nội bộ/khách hàng/cơ quan liên quan theo quyết định có thẩm quyền.</w:t>
      </w:r>
    </w:p>
    <w:p>
      <w:pPr>
        <w:pStyle w:val="ListNumber"/>
      </w:pPr>
      <w:r>
        <w:t>Lập postmortem và theo dõi hành động khắc phục.</w:t>
      </w:r>
    </w:p>
    <w:p>
      <w:pPr>
        <w:pStyle w:val="Heading1"/>
      </w:pPr>
      <w:r>
        <w:t>7. Bảo mật AI và RAG</w:t>
      </w:r>
    </w:p>
    <w:p>
      <w:pPr>
        <w:pStyle w:val="ListBullet"/>
      </w:pPr>
      <w:r>
        <w:t>ACL phải được áp dụng trước retrieval, không lọc sau khi nội dung đã vào prompt.</w:t>
      </w:r>
    </w:p>
    <w:p>
      <w:pPr>
        <w:pStyle w:val="ListBullet"/>
      </w:pPr>
      <w:r>
        <w:t>Prompt và log phải được làm sạch dữ liệu nhạy cảm.</w:t>
      </w:r>
    </w:p>
    <w:p>
      <w:pPr>
        <w:pStyle w:val="ListBullet"/>
      </w:pPr>
      <w:r>
        <w:t>Không cho mô hình truy cập trực tiếp secret store.</w:t>
      </w:r>
    </w:p>
    <w:p>
      <w:pPr>
        <w:pStyle w:val="ListBullet"/>
      </w:pPr>
      <w:r>
        <w:t>Câu trả lời phải kèm nguồn và cảnh báo khi confidence thấp hoặc tài liệu mâu thuẫn.</w:t>
      </w:r>
    </w:p>
    <w:p>
      <w:pPr>
        <w:pStyle w:val="ListBullet"/>
      </w:pPr>
      <w:r>
        <w:t>Prompt injection trong tài liệu tải lên phải được phát hiện; nội dung tài liệu không được coi là chỉ thị hệ thống.</w:t>
      </w:r>
    </w:p>
    <w:p>
      <w:pPr>
        <w:pStyle w:val="Heading1"/>
      </w:pPr>
      <w:r>
        <w:t>8. Audit và lưu trữ</w:t>
      </w:r>
    </w:p>
    <w:p>
      <w:pPr>
        <w:pStyle w:val="ListBullet"/>
      </w:pPr>
      <w:r>
        <w:t>Ghi log đăng nhập, thay đổi quyền, tải tài liệu, retrieval tài liệu mật và hành động quản trị.</w:t>
      </w:r>
    </w:p>
    <w:p>
      <w:pPr>
        <w:pStyle w:val="ListBullet"/>
      </w:pPr>
      <w:r>
        <w:t>Audit log chống sửa đổi và có thời hạn lưu theo mức độ rủi ro.</w:t>
      </w:r>
    </w:p>
    <w:p>
      <w:pPr>
        <w:pStyle w:val="ListBullet"/>
      </w:pPr>
      <w:r>
        <w:t>Mọi export dữ liệu CONFIDENTIAL phải có lý do và người phê duyệt.</w:t>
      </w:r>
    </w:p>
    <w:p>
      <w:pPr>
        <w:pStyle w:val="Heading1"/>
      </w:pPr>
      <w:r>
        <w:t>9. Xử lý vi phạm</w:t>
      </w:r>
    </w:p>
    <w:p>
      <w:pPr>
        <w:pStyle w:val="ListBullet"/>
      </w:pPr>
      <w:r>
        <w:t>Nhân viên phải báo cáo ngay khi nghi ngờ lộ mật khẩu, mất thiết bị hoặc gửi nhầm dữ liệu.</w:t>
      </w:r>
    </w:p>
    <w:p>
      <w:pPr>
        <w:pStyle w:val="ListBullet"/>
      </w:pPr>
      <w:r>
        <w:t>Không tự ý xóa log hoặc che giấu sự cố.</w:t>
      </w:r>
    </w:p>
    <w:p>
      <w:pPr>
        <w:pStyle w:val="ListBullet"/>
      </w:pPr>
      <w:r>
        <w:t>Vi phạm được xử lý theo mức độ, nội quy và quy định pháp luật áp dụng.</w:t>
      </w:r>
    </w:p>
    <w:p/>
    <w:p>
      <w:r>
        <w:rPr>
          <w:i/>
        </w:rPr>
        <w:t>Lưu ý: Tài liệu này là dữ liệu giả lập phục vụ thử nghiệm Knowledge Base, RAG, phân quyền ACL và audit log. Trước khi áp dụng thực tế phải được bộ phận chuyên trách rà soát và phê duyệt.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