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Kiến Thức Toàn Diện Dành Cho Chuyên Gia Marketing Chuyên Nghiệp (Kỷ Nguyên Kỹ Thuật Số Khối Cấu Trúc Đa Tầng)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tiến hóa không ngừng của môi trường kinh doanh và công nghệ đã định hình lại hoàn toàn chân dung của một chuyên gia marketing chuyên nghiệp. Trong bối cảnh kỷ nguyên số năm 2026, marketing không chỉ đơn thuần là nghệ thuật giao tiếp và sáng tạo, mà đã trở thành một bộ môn khoa học chính xác. Bộ môn này đòi hỏi sự kết hợp nhuần nhuyễn giữa tâm lý học hành vi, phân tích dữ liệu lượng tử, tư duy chiến lược và quản trị tài chính doanh nghiệp. Một hệ thống kiến thức toàn diện yêu cầu người làm nghề phải nắm vững từ những nền tảng lý thuyết kinh điển của Philip Kotler cho đến các quy luật thực chứng của Byron Sharp, đồng thời làm chủ các hệ thống kiến trúc dữ liệu phức tạp như Nền tảng Dữ liệu Khách hàng (CDP), Data Cloud và các mô hình đo lường hiện đại (MMM, MTA).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này cung cấp một phân tích học thuật và thực tiễn chuyên sâu, phác họa chi tiết các khối kiến thức bắt buộc phải có đối với một chuyên gia marketing cấp cao nhằm kiến tạo lợi thế cạnh tranh bền vững trong môi trường kinh doanh hiện đại.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Nền Tảng Lý Thuyết Kinh Điển và Hệ Tư Tưởng Của Philip Kotler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Bất chấp sự ra đời của vô số công cụ và nền tảng kỹ thuật số mới, nền tảng lý thuyết marketing vẫn bắt nguồn từ những nguyên lý cốt lõi về việc tạo ra, truyền đạt và phân phối giá trị. Sự am hiểu tường tận về các nguyên lý này là điều kiện tiên quyết để xây dựng bất kỳ chiến lược thương mại nào.</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Khái Niệm Cốt Lõi: Nhu Cầu, Mong Muốn và Số Cầu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 định nghĩa học thuật từ Tiến sĩ Philip Kotler – người được vinh danh là cha đẻ của marketing hiện đại – Quản trị Marketing là một quá trình mang tính xã hội và quản trị, qua đó các cá nhân hoặc tổ chức đạt được những gì họ cần và muốn thông qua việc tạo ra, cung cấp và trao đổi các sản phẩm có giá trị với người khác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Trọng tâm của toàn bộ quá trình này xoay quanh một chuỗi khái niệm có tính nhân quả chặt chẽ: Nhu cầu (Needs), Mong muốn (Wants) và Số cầu (Demands).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Nhu cầu (Needs) là trạng thái thiếu hụt các thỏa mãn cơ bản của con người, bao gồm thức ăn, quần áo, nơi trú ẩn, và sự an toàn. Các chuyên gia marketing không thể và không tạo ra nhu cầu; nhu cầu là bản năng tồn tại từ trước trong sinh học và xã hội loài người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Tuy nhiên, mong muốn (Wants) lại là khao khát về những công cụ hoặc đối tượng cụ thể để thỏa mãn nhu cầu đó. Mặc dù không thể tạo ra nhu cầu, các nhà tiếp thị có khả năng định hình và ảnh hưởng mạnh mẽ đến mong muốn bằng cách kết hợp với các yếu tố văn hóa, xã hội và xu hướng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Số cầu (Demands) là bước phát triển cao nhất, đại diện cho mong muốn đối với các sản phẩm cụ thể, được hậu thuẫn bởi khả năng chi trả và thái độ sẵn sàng mua. Trách nhiệm của marketing là tác động đến số cầu bằng cách làm cho sản phẩm trở nên phù hợp, hấp dẫn, dễ tiếp cận và có sẵn (Appropriate, Attractive, Approachable/Affordable, Available)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Trị Trạng Thái Cầu và Phương Trình Giá Trị</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Nhiệm vụ của quản trị marketing về bản chất là quản trị số cầu. Các giám đốc tiếp thị phải đối mặt với một loạt các quyết định liên quan đến tám trạng thái cầu khác nhau của thị trường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Cầu tiêu cực (Negative Demand):</w:t>
      </w:r>
      <w:r w:rsidDel="00000000" w:rsidR="00000000" w:rsidRPr="00000000">
        <w:rPr>
          <w:rFonts w:ascii="Google Sans" w:cs="Google Sans" w:eastAsia="Google Sans" w:hAnsi="Google Sans"/>
          <w:color w:val="1f1f1f"/>
          <w:rtl w:val="0"/>
        </w:rPr>
        <w:t xml:space="preserve"> Khi phần lớn thị trường ghét bỏ sản phẩm và thậm chí sẵn sàng trả tiền để tránh né nó (ví dụ: vắc-xin, dịch vụ nha khoa). Nhiệm vụ của marketing là phân tích nguyên nhân và định hình lại niềm tin thông qua thiết kế lại sản phẩm hoặc hạ giá.</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Không có cầu (No Demand):</w:t>
      </w:r>
      <w:r w:rsidDel="00000000" w:rsidR="00000000" w:rsidRPr="00000000">
        <w:rPr>
          <w:rFonts w:ascii="Google Sans" w:cs="Google Sans" w:eastAsia="Google Sans" w:hAnsi="Google Sans"/>
          <w:color w:val="1f1f1f"/>
          <w:rtl w:val="0"/>
        </w:rPr>
        <w:t xml:space="preserve"> Khách hàng mục tiêu không biết hoặc không quan tâm đến sản phẩm.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Cầu tiềm ẩn (Latent Demand):</w:t>
      </w:r>
      <w:r w:rsidDel="00000000" w:rsidR="00000000" w:rsidRPr="00000000">
        <w:rPr>
          <w:rFonts w:ascii="Google Sans" w:cs="Google Sans" w:eastAsia="Google Sans" w:hAnsi="Google Sans"/>
          <w:color w:val="1f1f1f"/>
          <w:rtl w:val="0"/>
        </w:rPr>
        <w:t xml:space="preserve"> Khách hàng có một nhu cầu mạnh mẽ nhưng không có bất kỳ sản phẩm hiện có nào trên thị trường đáp ứng được.</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Cầu giảm sút (Declining Demand):</w:t>
      </w:r>
      <w:r w:rsidDel="00000000" w:rsidR="00000000" w:rsidRPr="00000000">
        <w:rPr>
          <w:rFonts w:ascii="Google Sans" w:cs="Google Sans" w:eastAsia="Google Sans" w:hAnsi="Google Sans"/>
          <w:color w:val="1f1f1f"/>
          <w:rtl w:val="0"/>
        </w:rPr>
        <w:t xml:space="preserve"> Nhu cầu đối với sản phẩm giảm dần theo thời gian.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Cầu thất thường (Irregular Demand):</w:t>
      </w:r>
      <w:r w:rsidDel="00000000" w:rsidR="00000000" w:rsidRPr="00000000">
        <w:rPr>
          <w:rFonts w:ascii="Google Sans" w:cs="Google Sans" w:eastAsia="Google Sans" w:hAnsi="Google Sans"/>
          <w:color w:val="1f1f1f"/>
          <w:rtl w:val="0"/>
        </w:rPr>
        <w:t xml:space="preserve"> Số cầu biến động theo mùa vụ, theo ngày hoặc thậm chí theo giờ.</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Cầu bão hòa (Full Demand):</w:t>
      </w:r>
      <w:r w:rsidDel="00000000" w:rsidR="00000000" w:rsidRPr="00000000">
        <w:rPr>
          <w:rFonts w:ascii="Google Sans" w:cs="Google Sans" w:eastAsia="Google Sans" w:hAnsi="Google Sans"/>
          <w:color w:val="1f1f1f"/>
          <w:rtl w:val="0"/>
        </w:rPr>
        <w:t xml:space="preserve"> Tổ chức hài lòng với khối lượng kinh doanh hiện tại.</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Cầu vượt mức (Overfull Demand):</w:t>
      </w:r>
      <w:r w:rsidDel="00000000" w:rsidR="00000000" w:rsidRPr="00000000">
        <w:rPr>
          <w:rFonts w:ascii="Google Sans" w:cs="Google Sans" w:eastAsia="Google Sans" w:hAnsi="Google Sans"/>
          <w:color w:val="1f1f1f"/>
          <w:rtl w:val="0"/>
        </w:rPr>
        <w:t xml:space="preserve"> Nhu cầu cao hơn khả năng cung cấp của tổ chức, đòi hỏi các biện pháp giảm cầu (demarketing).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Cầu có hại (Unwholesome Demand):</w:t>
      </w:r>
      <w:r w:rsidDel="00000000" w:rsidR="00000000" w:rsidRPr="00000000">
        <w:rPr>
          <w:rFonts w:ascii="Google Sans" w:cs="Google Sans" w:eastAsia="Google Sans" w:hAnsi="Google Sans"/>
          <w:color w:val="1f1f1f"/>
          <w:rtl w:val="0"/>
        </w:rPr>
        <w:t xml:space="preserve"> Nhu cầu đối với các sản phẩm gây hại cho sức khỏe (thuốc lá, rượu).</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thỏa mãn những trạng thái cầu này, khách hàng sẽ thực hiện quá trình lựa chọn dựa trên phương trình giá trị. Giá trị (Value) được định nghĩa là tỷ lệ giữa những gì khách hàng nhận được và những gì họ phải đánh đổi. Phương trình này được biểu diễn bằng tổng lợi ích chức năng và lợi ích cảm xúc chia cho tổng chi phí (chi phí tiền bạc, chi phí thời gian, chi phí năng lượng và chi phí tâm lý)</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Một khách hàng khi đứng trước hai đề xuất giá trị sẽ luôn ưu tiên đề xuất mang lại tỷ lệ cao hơn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Hiện tượng "Marketing Myopia" (Thiển cận trong Marketing) xảy ra khi doanh nghiệp vi phạm phương trình này, chỉ tập trung vào việc bán hàng hóa vật lý thay vì giải quyết nhu cầu sâu xa của khách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Sáu Nguyên Tắc Khung Của Kotler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lý thuyết của Kotler đặt nền móng cho mọi chiến lược tiếp thị thông qua 6 nguyên tắc cơ bản, hoạt động như một hệ sinh thái tương hỗ</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Đầu tiên, việc tạo ra </w:t>
      </w:r>
      <w:r w:rsidDel="00000000" w:rsidR="00000000" w:rsidRPr="00000000">
        <w:rPr>
          <w:rFonts w:ascii="Google Sans" w:cs="Google Sans" w:eastAsia="Google Sans" w:hAnsi="Google Sans"/>
          <w:b w:val="1"/>
          <w:bCs w:val="1"/>
          <w:color w:val="1f1f1f"/>
          <w:rtl w:val="0"/>
        </w:rPr>
        <w:t xml:space="preserve">Giá trị và Sự Hài lòng của Khách hàng</w:t>
      </w:r>
      <w:r w:rsidDel="00000000" w:rsidR="00000000" w:rsidRPr="00000000">
        <w:rPr>
          <w:rFonts w:ascii="Google Sans" w:cs="Google Sans" w:eastAsia="Google Sans" w:hAnsi="Google Sans"/>
          <w:color w:val="1f1f1f"/>
          <w:rtl w:val="0"/>
        </w:rPr>
        <w:t xml:space="preserve"> (Customer Value and Satisfaction) là kim chỉ nam. Nguyên tắc thứ hai, </w:t>
      </w:r>
      <w:r w:rsidDel="00000000" w:rsidR="00000000" w:rsidRPr="00000000">
        <w:rPr>
          <w:rFonts w:ascii="Google Sans" w:cs="Google Sans" w:eastAsia="Google Sans" w:hAnsi="Google Sans"/>
          <w:b w:val="1"/>
          <w:bCs w:val="1"/>
          <w:color w:val="1f1f1f"/>
          <w:rtl w:val="0"/>
        </w:rPr>
        <w:t xml:space="preserve">STP (Segmentation, Targeting, and Positioning)</w:t>
      </w:r>
      <w:r w:rsidDel="00000000" w:rsidR="00000000" w:rsidRPr="00000000">
        <w:rPr>
          <w:rFonts w:ascii="Google Sans" w:cs="Google Sans" w:eastAsia="Google Sans" w:hAnsi="Google Sans"/>
          <w:color w:val="1f1f1f"/>
          <w:rtl w:val="0"/>
        </w:rPr>
        <w:t xml:space="preserve">, yêu cầu thương hiệu phải phân khúc thị trường thành các nhóm có nhu cầu tương đồng, lựa chọn tệp khách hàng tiềm năng nhất và xây dựng một hình ảnh khác biệt trong tâm trí họ</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Nguyên tắc thứ ba tập trung vào </w:t>
      </w:r>
      <w:r w:rsidDel="00000000" w:rsidR="00000000" w:rsidRPr="00000000">
        <w:rPr>
          <w:rFonts w:ascii="Google Sans" w:cs="Google Sans" w:eastAsia="Google Sans" w:hAnsi="Google Sans"/>
          <w:b w:val="1"/>
          <w:bCs w:val="1"/>
          <w:color w:val="1f1f1f"/>
          <w:rtl w:val="0"/>
        </w:rPr>
        <w:t xml:space="preserve">Xây dựng Thương hiệu và Tài sản Thương hiệu</w:t>
      </w:r>
      <w:r w:rsidDel="00000000" w:rsidR="00000000" w:rsidRPr="00000000">
        <w:rPr>
          <w:rFonts w:ascii="Google Sans" w:cs="Google Sans" w:eastAsia="Google Sans" w:hAnsi="Google Sans"/>
          <w:color w:val="1f1f1f"/>
          <w:rtl w:val="0"/>
        </w:rPr>
        <w:t xml:space="preserve"> (Branding and Brand Equity), biến sản phẩm vô tri thành một thực thể có tính cách (ví dụ như sự liên kết giữa Nike và tinh thần thể thao xuất sắc)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Thứ tư là </w:t>
      </w:r>
      <w:r w:rsidDel="00000000" w:rsidR="00000000" w:rsidRPr="00000000">
        <w:rPr>
          <w:rFonts w:ascii="Google Sans" w:cs="Google Sans" w:eastAsia="Google Sans" w:hAnsi="Google Sans"/>
          <w:b w:val="1"/>
          <w:bCs w:val="1"/>
          <w:color w:val="1f1f1f"/>
          <w:rtl w:val="0"/>
        </w:rPr>
        <w:t xml:space="preserve">Truyền thông Tiếp thị Tích hợp (IMC)</w:t>
      </w:r>
      <w:r w:rsidDel="00000000" w:rsidR="00000000" w:rsidRPr="00000000">
        <w:rPr>
          <w:rFonts w:ascii="Google Sans" w:cs="Google Sans" w:eastAsia="Google Sans" w:hAnsi="Google Sans"/>
          <w:color w:val="1f1f1f"/>
          <w:rtl w:val="0"/>
        </w:rPr>
        <w:t xml:space="preserve"> nhằm đảm bảo mọi điểm chạm từ quảng cáo đến quan hệ công chúng đều truyền tải một thông điệp đồng nhất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Thứ năm là </w:t>
      </w:r>
      <w:r w:rsidDel="00000000" w:rsidR="00000000" w:rsidRPr="00000000">
        <w:rPr>
          <w:rFonts w:ascii="Google Sans" w:cs="Google Sans" w:eastAsia="Google Sans" w:hAnsi="Google Sans"/>
          <w:b w:val="1"/>
          <w:bCs w:val="1"/>
          <w:color w:val="1f1f1f"/>
          <w:rtl w:val="0"/>
        </w:rPr>
        <w:t xml:space="preserve">Đổi mới và Phát triển Sản phẩm</w:t>
      </w:r>
      <w:r w:rsidDel="00000000" w:rsidR="00000000" w:rsidRPr="00000000">
        <w:rPr>
          <w:rFonts w:ascii="Google Sans" w:cs="Google Sans" w:eastAsia="Google Sans" w:hAnsi="Google Sans"/>
          <w:color w:val="1f1f1f"/>
          <w:rtl w:val="0"/>
        </w:rPr>
        <w:t xml:space="preserve">, liên tục thích ứng với sự thay đổi của môi trường công nghệ. Cuối cùng, nguyên tắc </w:t>
      </w:r>
      <w:r w:rsidDel="00000000" w:rsidR="00000000" w:rsidRPr="00000000">
        <w:rPr>
          <w:rFonts w:ascii="Google Sans" w:cs="Google Sans" w:eastAsia="Google Sans" w:hAnsi="Google Sans"/>
          <w:b w:val="1"/>
          <w:bCs w:val="1"/>
          <w:color w:val="1f1f1f"/>
          <w:rtl w:val="0"/>
        </w:rPr>
        <w:t xml:space="preserve">Trách nhiệm Xã hội và Đạo đức</w:t>
      </w:r>
      <w:r w:rsidDel="00000000" w:rsidR="00000000" w:rsidRPr="00000000">
        <w:rPr>
          <w:rFonts w:ascii="Google Sans" w:cs="Google Sans" w:eastAsia="Google Sans" w:hAnsi="Google Sans"/>
          <w:color w:val="1f1f1f"/>
          <w:rtl w:val="0"/>
        </w:rPr>
        <w:t xml:space="preserve"> nhấn mạnh rằng marketing hiện đại không chỉ phục vụ cổ đông (shareholders) mà phải mang lại giá trị cho toàn bộ các bên liên quan (stakeholders) và môi trường sinh thái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Cuộc Tranh Luận Thế Kỷ: Lòng Trung Thành (Kotler) Và Độ Phủ Đạt Mức (Byron Sharp)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chuyên gia marketing thực thụ không chỉ áp dụng mù quáng một học thuyết mà phải biết đối chiếu các luồng tư tưởng đối lập để tìm ra điểm cân bằng chiến lược. Việc chỉ áp dụng mô hình STP của Kotler có thể dẫn đến sự bế tắc khi quy mô doanh nghiệp đạt đến một giới hạn nhất định. Sự xuất hiện của Thuyết "How Brands Grow" (Cách Thương hiệu Tăng trưởng) của Giáo sư Byron Sharp đã tạo ra một cuộc cách mạng tư duy, thách thức trực tiếp những giáo điều truyền thống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Sự Phân Kỳ Trong Động Lực Tăng Trưởng Thương Hiệu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Philip Kotler lập luận rằng sự tăng trưởng đến từ việc thấu hiểu cực kỳ sâu sắc các phân khúc khách hàng mục tiêu hẹp. Bằng cách phục vụ nhóm khách hàng này tốt hơn mọi đối thủ cạnh tranh, thương hiệu sẽ xây dựng được lòng trung thành sâu sắc, tối đa hóa Giá trị Vòng đời Khách hàng (CLV) và từ đó tạo ra lợi nhuận ổn định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Chiến lược này đề cao tính cá nhân hóa và định vị độc bản.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Ngược lại, Byron Sharp, dựa trên các nghiên cứu thực chứng quy mô lớn trong nhiều thập kỷ từ Viện Ehrenberg-Bass (với dữ liệu từ TNS Impulse Panel), chỉ ra rằng việc nhắm mục tiêu vi mô (hyper-targeting) và phụ thuộc vào lòng trung thành của một nhóm khách hàng nhỏ là một ảo tưởng marketing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Sharp lập luận rằng người tiêu dùng thực chất là những "người hà tiện nhận thức" (cognitive misers), họ có mức độ trung thành rất thấp đối với hầu hết các thương hiệu và thường xuyên mua xen kẽ nhiều thương hiệu trong cùng một danh mục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thực nghiệm của Sharp chứng minh rằng sự tăng trưởng thực sự của thương hiệu được thúc đẩy bởi việc liên tục thâm nhập (penetration) và thu hút người mua mới, đặc biệt là nhóm "người mua nhẹ" (light buyers) – những người thỉnh thoảng mới mua hàng một lần nhưng lại chiếm phần lớn tổng doanh thu của thương hiệu</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Việc thiết kế hàng loạt chương trình khuyến mãi để cố gắng biến người mua nhẹ thành người mua nặng (heavy buyers) thường chỉ lãng phí tài nguyên mà không làm thay đổi bản chất tiêu dùng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Điều này được củng cố bởi Quy luật Bất lợi Kép (Law of Double Jeopardy), một nguyên lý toán học cho thấy các thương hiệu có thị phần nhỏ không chỉ chịu thiệt thòi vì có ít người mua hơn, mà những người mua đó cũng ít trung thành hơn đáng kể so với người mua của các thương hiệu lớn. Do đó, nỗ lực dùng lòng trung thành để bù đắp cho một thị phần nhỏ là điều bất khả thi về mặt thống kê</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Xét Duyệt Danh Mục (CEPs) và Sự Sẵn Sàng (Availability)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Sharp bác bỏ ý tưởng về sự khác biệt hóa định vị phức tạp, thay vào đó, ông đề xuất rằng các thương hiệu chỉ cạnh tranh như những "bản sao" (lookalikes) và chiến thắng bằng cách xây dựng hai tài sản dựa trên thị trường cốt lõi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Sự Sẵn sàng về Tâm trí (Mental Availability):</w:t>
      </w:r>
      <w:r w:rsidDel="00000000" w:rsidR="00000000" w:rsidRPr="00000000">
        <w:rPr>
          <w:rFonts w:ascii="Google Sans" w:cs="Google Sans" w:eastAsia="Google Sans" w:hAnsi="Google Sans"/>
          <w:color w:val="1f1f1f"/>
          <w:rtl w:val="0"/>
        </w:rPr>
        <w:t xml:space="preserve"> Là khả năng thương hiệu tự động xuất hiện trong tâm trí người tiêu dùng tại chính xác thời điểm họ phát sinh nhu cầu mua sắm. Trạng thái này được xây dựng thông qua việc sở hữu các Điểm Xét duyệt Danh mục (Category Entry Points - CEPs) – những tín hiệu gợi nhớ và bối cảnh sử dụng đặc trưng. Chẳng hạn, Red Bull đã thành công trong việc sở hữu CEP "khi bạn cần năng lượng thức khuya", trong khi M&amp;M's sở hữu CEP "đồ ăn vặt khi xem phim"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Để xây dựng CEP, thương hiệu cần liên tục củng cố các Tài sản Đặc trưng của Thương hiệu (Distinctive Brand Assets) như logo, màu sắc, âm thanh, phông chữ để giúp não bộ khách hàng ghi nhớ mà không cần suy nghĩ phân tích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Sự Sẵn sàng về Vật lý (Physical Availability):</w:t>
      </w:r>
      <w:r w:rsidDel="00000000" w:rsidR="00000000" w:rsidRPr="00000000">
        <w:rPr>
          <w:rFonts w:ascii="Google Sans" w:cs="Google Sans" w:eastAsia="Google Sans" w:hAnsi="Google Sans"/>
          <w:color w:val="1f1f1f"/>
          <w:rtl w:val="0"/>
        </w:rPr>
        <w:t xml:space="preserve"> Là mức độ dễ dàng để người tiêu dùng có thể tìm thấy và mua sản phẩm ở mọi kênh phân phối, mọi lúc, mọi nơi mà không gặp bất kỳ rào cản hay ma sát nào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Phân Tích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Thuyết Marketing Cổ Điển (Philip Kotler)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Thuyết Tăng Trưởng Thực Chứng (Byron Sharp)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Động Lực Tăng Trưởng Cốt Lõi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Xây dựng lòng trung thành và Tối đa hóa Giá trị Vòng đời Khách hàng (CLV)</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Tăng cường thâm nhập thị trường (Penetration) và độ phủ rộng (Reach)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Đối Tượng Khách Hàng Trọng Tâm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khách hàng cốt lõi, người mua trung thành, phân khúc hẹp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Người mua nhẹ (Light buyers) và những người chưa từng mua hàng (Non-customers)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 Chất Chiến Lược Truyền Thông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Khác biệt hóa định vị sâu sắc, truyền tải thông điệp siêu cá nhân hóa (Hyper-personalization)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Nhất quán trong việc xây dựng các tài sản nhận diện đặc trưng trên quy mô đại chúng (Mass marketing)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Thước Đo Đo Lường Hiệu Quả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Tỷ lệ giữ chân khách hàng (Retention rate), Lòng trung thành, ROI trên từng phân khúc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sẵn sàng về tâm trí (Mental Availability) và Sự sẵn sàng về vật lý (Physical Availability)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Mô Hình Chiến Lược (Hybrid Approach)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các nhà chiến lược sắc sảo không loại bỏ hoàn toàn mô hình nào mà tiến hành kết hợp chúng tùy thuộc vào đặc thù ngành hàng. Một số quan điểm phản biện chỉ ra rằng nếu một doanh nghiệp như Tesla chỉ phụ thuộc vào độ phủ đại chúng, họ sẽ không thể thành công với mức chi tiêu quảng cáo chỉ 6 USD/xe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Chiến lược STP của Kotler phát huy hiệu quả tối đa đối với các ngành hàng cao cấp (luxury), dịch vụ chuyên nghiệp, hoặc các sản phẩm B2B phức tạp, nơi chi phí chuyển đổi (switching costs) rất cao và giá trị vòng đời của một khách hàng đủ lớn để bù đắp chi phí cá nhân hóa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Ngược lại, đối với ngành hàng tiêu dùng nhanh (FMCG) hoặc các sản phẩm thiết yếu hàng ngày, mô hình của Sharp lại tỏ ra ưu việt hơn hẳn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Một chiến lược lý tưởng trong kỷ nguyên số thường mang tính pha trộn: Bắt đầu bằng việc áp dụng học thuyết Kotler để tạo ra sự khác biệt rõ rệt ở giai đoạn thâm nhập nhằm xây dựng bản sắc cốt lõi, sau đó mở rộng quy mô thông qua độ phủ rộng của Sharp để chiếm lĩnh các "khoảnh khắc cần thiết" (moments of need) của thị trường đại chúng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Tâm Lý Học Hành Vi Trong Ra Quyết Định Mua Sắm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Mọi chiến lược marketing, dù sử dụng công nghệ cao đến đâu, cuối cùng vẫn là sự can thiệp vào bộ não con người. Sự am hiểu về tâm lý học hành vi, đặc biệt là Thuyết Hệ thống 1 và Hệ thống 2 của nhà khoa học đạt giải Nobel Daniel Kahneman, là công cụ không thể thiếu của một chuyên gia marketing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Kép Của Tư Duy: Hệ Thống 1 và Hệ Thống 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Kahneman chia quá trình tư duy của não bộ thành hai cơ chế hoạt động song song nhưng có bản chất hoàn toàn trái ngược nhau:</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Hệ thống 1 (System 1):</w:t>
      </w:r>
      <w:r w:rsidDel="00000000" w:rsidR="00000000" w:rsidRPr="00000000">
        <w:rPr>
          <w:rFonts w:ascii="Google Sans" w:cs="Google Sans" w:eastAsia="Google Sans" w:hAnsi="Google Sans"/>
          <w:color w:val="1f1f1f"/>
          <w:rtl w:val="0"/>
        </w:rPr>
        <w:t xml:space="preserve"> Là quá trình suy nghĩ tự động, cực kỳ nhanh chóng, hoạt động trong vô thức và chủ yếu dựa trên cảm xúc, trực giác cũng như trí nhớ liên tưởng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Hệ thống này liên tục chạy ngầm trong não bộ, không đòi hỏi nỗ lực tính toán và do đó, rất dễ bị đánh lừa bởi các định kiến nhận thức (cognitive biases)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Hệ thống 2 (System 2):</w:t>
      </w:r>
      <w:r w:rsidDel="00000000" w:rsidR="00000000" w:rsidRPr="00000000">
        <w:rPr>
          <w:rFonts w:ascii="Google Sans" w:cs="Google Sans" w:eastAsia="Google Sans" w:hAnsi="Google Sans"/>
          <w:color w:val="1f1f1f"/>
          <w:rtl w:val="0"/>
        </w:rPr>
        <w:t xml:space="preserve"> Là quá trình tư duy chậm rãi, có sự kiểm soát chủ ý, đòi hỏi sự nỗ lực tập trung cao độ, phân tích logic và suy luận toán học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nghiên cứu ứng dụng từ Thần kinh học tiếp thị (Neuromarketing) đã cung cấp bằng chứng khoa học cho thấy phần lớn các quyết định mua sắm của người tiêu dùng thực chất được đưa ra một cách chớp nhoáng bởi Hệ thống 1. Sau khi quyết định đã được hình thành trong vô thức, bộ não mới huy động Hệ thống 2 để tìm kiếm các lý do hợp lý hóa quyết định thiên vị đó</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Ứng Dụng Trong Thiết Kế Trải Nghiệm và Truyền Thông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ứng dụng hai hệ thống này định hình cách xây dựng thông điệp thương hiệu. Toàn bộ nỗ lực xây dựng Category Entry Points (CEP) và Tài sản Đặc trưng của Thương hiệu của Byron Sharp thực chất là các bài tập nhằm tối ưu hóa việc thâm nhập vào Hệ thống 1</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Khi thông điệp được thiết kế bằng hình ảnh gợi cảm, âm nhạc bắt tai, hoặc sử dụng các hiệu ứng mỏ neo (anchoring effect) và bằng chứng xã hội (social proof), khách hàng sẽ ghi nhớ và phản xạ mua hàng mà không cần phải kích hoạt trung tâm phân tích</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Trái lại, trong các chu kỳ bán hàng B2B phức tạp hoặc khi tiếp thị các sản phẩm có giá trị cao (như mua nhà, mua phần mềm doanh nghiệp, dịch vụ tư vấn), thông điệp marketing bắt buộc phải cung cấp đủ "nguyên liệu" cho Hệ thống 2 hoạt động. Điều này đòi hỏi các tài liệu chuyên sâu, bảng so sánh tính năng kỹ thuật chi tiết, chứng minh tỷ suất hoàn vốn (ROI), và các biểu đồ phân tích dữ liệu để thuyết phục tư duy phản biện của người mua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Khả năng chuyển đổi mượt mà giữa việc kích thích Hệ thống 1 và cung cấp luận cứ cho Hệ thống 2 chính là nghệ thuật của một chuyên gia thiết kế hành vi (behavioral designer).</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Giá Trị Vòng Đời Khách Hàng (CLV) và Động Lực Lợi Nhuận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quản trị marketing tài chính, các giám đốc tiếp thị xuất sắc không đánh giá hiệu quả chiến dịch qua doanh số của một giao dịch đơn lẻ, mà dựa trên thước đo cốt lõi: Giá trị Vòng đời Khách hàng (Customer Lifetime Value - CLV). Đây là cơ sở khoa học để xác định một doanh nghiệp nên chi bao nhiêu tiền để thu hút một khách hàng mà không làm tổn hại đến sự sống còn của dòng tiền.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Hiệu Ứng Kinh Tế Của Việc Giữ Chân Khách Hàng (Customer Retention)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kinh điển do Bain &amp; Company phối hợp cùng Trường Kinh doanh Harvard thực hiện đã chỉ ra một sự thật kinh tế đáng kinh ngạc: Việc cải thiện tỷ lệ giữ chân khách hàng (customer retention) chỉ thêm 5% có thể mang lại mức tăng trưởng lợi nhuận khổng lồ, dao động từ 25% lên đến 95%</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Lý do đằng sau con số này là việc thu hút một khách hàng mới thường tốn kém gấp 5 đến 25 lần so với việc bán hàng cho một khách hàng đã có sẵn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phân tích xác suất từ Giáo sư David Reibstein (Trường Wharton) cũng ủng hộ luận điểm này: Xác suất bán hàng thành công cho một khách hàng hiện tại cao gấp 14 lần so với xác suất thuyết phục một khách hàng tiềm năng hoàn toàn mới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Cụ thể, khả năng chuyển đổi một khách hàng cũ lên tới 60% – 70%, trong khi tỷ lệ này đối với người mới chỉ lẹt đẹt ở mức 5% – 20%</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gia tăng lợi nhuận phi mã từ khách hàng lâu năm đến từ các cơ chế kết hợp: (1) Chi phí thu hút ban đầu đã được khấu hao hoàn toàn; (2) Họ có xu hướng mua hàng với tần suất cao hơn; (3) Mức độ tin tưởng giúp tăng giá trị đơn hàng trung bình (AOV); và (4) Chi phí vận hành, tư vấn và hỗ trợ khách hàng giảm xuống đáng kể do họ đã quen thuộc với hệ thống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Mô Hình Toán Học Của CLV</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mặt học thuật, CLV được định nghĩa là ước tính giá trị hiện tại của toàn bộ dòng tiền tương lai gắn liền với một khách hàng trong suốt vòng đời tương tác của họ với doanh nghiệp</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CLV không chỉ là một số liệu tài chính khô khan; nó là một chỉ số dự báo tổng hợp các khía cạnh hành vi, sự hài lòng, lòng trung thành và mức độ tương tác</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hình thức đơn giản nhất, công thức CLV thường được sử dụng trong các chiến lược nhanh là</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8282"/>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05500" cy="61828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Ví dụ:</w:t>
      </w:r>
      <w:r w:rsidDel="00000000" w:rsidR="00000000" w:rsidRPr="00000000">
        <w:rPr>
          <w:rFonts w:ascii="Google Sans" w:cs="Google Sans" w:eastAsia="Google Sans" w:hAnsi="Google Sans"/>
          <w:color w:val="1f1f1f"/>
          <w:rtl w:val="0"/>
        </w:rPr>
        <w:t xml:space="preserve"> Một khách hàng mua mỹ phẩm chăm sóc da chi tiêu trung bình 250 USD/năm trong khoảng thời gian từ 25 tuổi đến 60 tuổi (tuổi thọ 35 năm) sẽ mang lại CLV là 8.750 USD. Nếu họ đăng ký bản tin và được thuyết phục chi tiêu lên tới 600 USD/năm, CLV của họ sẽ nhảy vọt lên 21.000 USD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trong một mô hình đánh giá dòng tiền chiết khấu (Net Present Value - NPV) phức tạp và chính xác hơn, có tính đến rủi ro lạm phát và giá trị thời gian của tiền bạc, công thức CLV được thể hiện qua mô hình sau</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0467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80467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26728" cy="24985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6728" cy="249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Dòng tiền tự do hoặc lợi nhuận ròng thu được từ khách hàng tại thời kỳ </w:t>
      </w:r>
      <w:r w:rsidDel="00000000" w:rsidR="00000000" w:rsidRPr="00000000">
        <w:rPr>
          <w:rFonts w:ascii="Google Sans" w:cs="Google Sans" w:eastAsia="Google Sans" w:hAnsi="Google Sans"/>
          <w:color w:val="1f1f1f"/>
        </w:rPr>
        <w:drawing>
          <wp:inline distB="19050" distT="19050" distL="19050" distR="19050">
            <wp:extent cx="70743" cy="275897"/>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0743" cy="275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67667" cy="263902"/>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667" cy="263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Tỷ lệ chiết khấu (Discount rate/Cost of capital), phản ánh chi phí cơ hội của việc đầu tư vốn.</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01030" cy="244587"/>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1030" cy="2445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Chi phí Thu hút Khách hàng (Customer Acquisition Cost), được tính bằng tổng ngân sách marketing, quảng cáo, và chi phí bán hàng chia cho số lượng người mua mới thu được</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Bảng 1: Minh họa Tác động của Tỷ lệ Chiết khấu 10% đến Tính toán CLV</w:t>
      </w:r>
      <w:r w:rsidDel="00000000" w:rsidR="00000000" w:rsidRPr="00000000">
        <w:rPr>
          <w:rFonts w:ascii="Google Sans" w:cs="Google Sans" w:eastAsia="Google Sans" w:hAnsi="Google Sans"/>
          <w:color w:val="444746"/>
          <w:sz w:val="24"/>
          <w:szCs w:val="24"/>
          <w:vertAlign w:val="superscript"/>
          <w:rtl w:val="0"/>
        </w:rPr>
        <w:t xml:space="preserve">28</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Năm (t)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Lợi nhuận Dự kiến Hàng năm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Hệ số Chiết khấu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Lợi nhuận Hiện giá Chiết khấu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 (Chi phí 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375.5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Tổng CLV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2,400 (Không chiết khấu)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1,795 (Đã chiết khấu)</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ý: Bảng mô phỏng dữ liệu tham chiếu từ Lars Groeger và Francis Buttle, cho thấy sự chênh lệch lớn giữa việc kỳ vọng doanh thu thô và giá trị dòng tiền thực tế mang lại</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Chiến Lược Gia Tăng CLV qua Mô Hình RFM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hiện thực hóa việc tối ưu CLV, các hệ thống cơ sở dữ liệu thường phân loại khách hàng dựa trên mô hình thuật toán RFM</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Recency (R - Độ mới):</w:t>
      </w:r>
      <w:r w:rsidDel="00000000" w:rsidR="00000000" w:rsidRPr="00000000">
        <w:rPr>
          <w:rFonts w:ascii="Google Sans" w:cs="Google Sans" w:eastAsia="Google Sans" w:hAnsi="Google Sans"/>
          <w:color w:val="1f1f1f"/>
          <w:rtl w:val="0"/>
        </w:rPr>
        <w:t xml:space="preserve"> Thời gian tính từ lần mua hàng cuối cùng. Điểm R càng thấp, xác suất khách hàng còn đang chú ý đến thương hiệu và sẵn sàng tái mua trong ngắn hạn càng cao.</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Frequency (F - Tần suất):</w:t>
      </w:r>
      <w:r w:rsidDel="00000000" w:rsidR="00000000" w:rsidRPr="00000000">
        <w:rPr>
          <w:rFonts w:ascii="Google Sans" w:cs="Google Sans" w:eastAsia="Google Sans" w:hAnsi="Google Sans"/>
          <w:color w:val="1f1f1f"/>
          <w:rtl w:val="0"/>
        </w:rPr>
        <w:t xml:space="preserve"> Số lần khách hàng giao dịch trong một khoảng thời gian thống kê. Tần suất mua hàng phản ánh trực tiếp lòng trung thành và thói quen.</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Monetary (M - Giá trị Tiền tệ):</w:t>
      </w:r>
      <w:r w:rsidDel="00000000" w:rsidR="00000000" w:rsidRPr="00000000">
        <w:rPr>
          <w:rFonts w:ascii="Google Sans" w:cs="Google Sans" w:eastAsia="Google Sans" w:hAnsi="Google Sans"/>
          <w:color w:val="1f1f1f"/>
          <w:rtl w:val="0"/>
        </w:rPr>
        <w:t xml:space="preserve"> Mức chi tiêu trung bình. Yếu tố này thường được sử dụng dưới dạng giá trị trung bình (thay vì tổng giá trị) để tránh hiện tượng đa cộng tuyến (collinearity) với biến F trong các mô hình dự báo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phân tích RFM và định chuẩn CLV, chuyên gia marketing có thể triển khai bốn trụ cột chiến lược để kéo giãn biên lợi nhuận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Tăng Giá trị Đơn hàng Trung bình (AOV):</w:t>
      </w:r>
      <w:r w:rsidDel="00000000" w:rsidR="00000000" w:rsidRPr="00000000">
        <w:rPr>
          <w:rFonts w:ascii="Google Sans" w:cs="Google Sans" w:eastAsia="Google Sans" w:hAnsi="Google Sans"/>
          <w:color w:val="1f1f1f"/>
          <w:rtl w:val="0"/>
        </w:rPr>
        <w:t xml:space="preserve"> Thúc đẩy các kỹ thuật bán chéo (cross-selling) và bán thêm (up-selling) ngay tại điểm thanh toán, hoặc cung cấp các phiên bản sản phẩm giới hạn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Tăng Tần suất Mua hàng (Frequency):</w:t>
      </w:r>
      <w:r w:rsidDel="00000000" w:rsidR="00000000" w:rsidRPr="00000000">
        <w:rPr>
          <w:rFonts w:ascii="Google Sans" w:cs="Google Sans" w:eastAsia="Google Sans" w:hAnsi="Google Sans"/>
          <w:color w:val="1f1f1f"/>
          <w:rtl w:val="0"/>
        </w:rPr>
        <w:t xml:space="preserve"> Thiết kế các chương trình khuyến mãi theo chu kỳ hành vi, tối ưu hóa giao tiếp qua email, mở rộng giờ phục vụ và tăng cường độ phủ kênh phân phối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Tăng Giá trị Sản phẩm (Premiumization):</w:t>
      </w:r>
      <w:r w:rsidDel="00000000" w:rsidR="00000000" w:rsidRPr="00000000">
        <w:rPr>
          <w:rFonts w:ascii="Google Sans" w:cs="Google Sans" w:eastAsia="Google Sans" w:hAnsi="Google Sans"/>
          <w:color w:val="1f1f1f"/>
          <w:rtl w:val="0"/>
        </w:rPr>
        <w:t xml:space="preserve"> Khai thác niềm tin đã được thiết lập để giới thiệu các dòng sản phẩm có biên lợi nhuận cao hơn cho tệp khách hàng VIP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Kéo dài Tuổi thọ Khách hàng (Lifespan):</w:t>
      </w:r>
      <w:r w:rsidDel="00000000" w:rsidR="00000000" w:rsidRPr="00000000">
        <w:rPr>
          <w:rFonts w:ascii="Google Sans" w:cs="Google Sans" w:eastAsia="Google Sans" w:hAnsi="Google Sans"/>
          <w:color w:val="1f1f1f"/>
          <w:rtl w:val="0"/>
        </w:rPr>
        <w:t xml:space="preserve"> Lập bản đồ hành trình khách hàng (customer journey mapping) cho từng chân dung (persona) nhằm dự báo và triệt tiêu các điểm nghẽn gây thất vọng, từ đó giảm thiểu tỷ lệ rời bỏ (churn rate)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Hệ Sinh Thái Dữ Liệu: CRM, CDP và Enterprise Data Cloud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quả tất yếu của việc quản lý hàng triệu điểm chạm từ người dùng là sự phình to của các khối dữ liệu. Chuyên gia marketing năm 2026 không thể chỉ tư duy bằng hình ảnh và câu chữ, mà phải hiểu sâu sắc về kiến trúc cơ sở dữ liệu. Sự nhầm lẫn giữa CRM, CDP và Data Cloud là rào cản lớn nhất trong quá trình chuyển đổi số của doanh nghiệp.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Bảng 2: So sánh Cấu trúc Kiến trúc Dữ liệu Khách hàng Hiện đại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Thuộc Tính Kiến Trúc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CRM (Customer Relationship Management)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CDP (Customer Data Platform)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Cloud (Enterprise Data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Mục tiêu Định tuyến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lý mối quan hệ, hỗ trợ trực tiếp cho các tác vụ của đội ngũ Bán hàng (Sales) và Chăm sóc (Service)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Xây dựng Hồ sơ Khách hàng Thống nhất (Single View) thông qua dữ liệu đa kênh, phục vụ chuyên biệt cho đội ngũ Marketing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Phá vỡ mọi rào cản (silos), luân chuyển dữ liệu theo thời gian thực xuyên suốt toàn bộ tổ chức (Sales, Service, Marketing, Commerce)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 chất Dữ liệu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tĩnh, có cấu trúc (tên, email, số điện thoại, lịch sử giao dịch, ghi chú nhân viên)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sự kiện hành vi dung lượng lớn (clicks, page views, thời gian truy cập ứng dụng) và nhận dạng nhân khẩu học</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luồng (streaming data), kiến trúc dữ liệu quy mô doanh nghiệp kết hợp các thuật toán AI dự đoán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Tiến trình Theo dõi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Chỉ tạo hồ sơ khi khách hàng đã định danh và tự nguyện cung cấp thông tin (điền form, gọi điện, mua hàng)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Bắt đầu theo dõi từ khi người dùng còn là ẩn danh (thông qua Cookies, Device IDs, IP) và thực hiện Hợp nhất Danh tính (Identity Resolution)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đoán hành vi và tự động phân khúc đối tượng (Segment Generation) liên tục bằng AI ngay trong quá trình luân chuyển dữ liệu</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hình Vận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trữ tĩnh theo các đối tượng (Objects) như Lead, Contact, Opportunity.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Hoạt động theo cơ chế xử lý hàng loạt (Batch-driven), tối ưu hóa để chạy các chiến dịch (Campaigns) định kỳ</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Zero-copy architecture (khả năng truy cập dữ liệu trực tiếp từ các Data Lakes như Snowflake mà không cần sao chép vật lý)</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Nghệ Thuật Phân Giải Danh Tính (Identity Resolution)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Sức mạnh cốt lõi của một hệ thống CDP nằm ở thuật toán Phân giải Danh tính (Identity Resolution). Một người tiêu dùng có thể truy cập website bằng laptop ẩn danh, nhấp vào quảng cáo qua điện thoại, và mua hàng bằng thẻ thành viên tại cửa hàng vật lý. CDP sử dụng các cơ chế nối kết (stitching) và giải quyết xung đột để gộp hàng triệu điểm chạm rời rạc này thành một Hồ sơ Thống nhất (Unified Profile) duy nhất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Khả năng này cho phép hệ thống phân khúc tập khách hàng cực kỳ tinh vi dựa trên các tương tác theo thời gian thực, thay vì chỉ dựa vào các phân loại nhân khẩu học cứng nhắc và lạc hậu</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khi đó, ở các tổ chức quy mô doanh nghiệp lớn (Enterprise), nền tảng Data Cloud (chẳng hạn như Salesforce Data Cloud) đã nâng cấp khái niệm CDP lên một mức độ cao hơn. Data Cloud cho phép tích hợp trực tiếp các mô hình học máy và AI chuyên biệt của riêng tổ chức (Bring Your Own AI – như Amazon SageMaker), xử lý hàng triệu truy vấn mỗi giây thông qua hệ thống tích hợp (như MuleSoft) để trả về các dự đoán cá nhân hóa ngay trong khoảnh khắc người dùng thao tác trên màn hình</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Bối Cảnh Đo Lường Hợp Nhất (2026): Sự Suy Tàn Của MTA và Sự Phục Hưng Của MMM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Năm 2026 đánh dấu một cuộc khủng hoảng trầm trọng trong đo lường hiệu quả quảng cáo số, bị chi phối bởi kỷ nguyên thắt chặt quyền riêng tư toàn cầu. Đạo luật GDPR của châu Âu, CCPA tại Mỹ, việc loại bỏ hoàn toàn cookies bên thứ ba (Third-party cookies), cùng với cơ chế Chống Theo dõi Thông minh (ITP) của Safari và Tính minh bạch Theo dõi Ứng dụng (ATT) của Apple trên iOS đã bẻ gãy hoàn toàn các mô hình theo dõi dấu chân kỹ thuật số truyền thống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Bất Lực Của Mô Hình Phân Bổ Đa Điểm Chạm (MTA)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Multi-Touch Attribution (MTA) từng là tiêu chuẩn vàng của tiếp thị số. MTA là phương pháp phân bổ từ dưới lên (bottom-up), theo dõi hành trình của từng người dùng cụ thể thông qua cookies và Device IDs, từ đó gán tỷ lệ đóng góp (fractional credit) cho từng quảng cáo mà người dùng đã xem trước khi mua hàng</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Tuy nhiên, trước các bức tường lửa về quyền riêng tư của Apple và Google, khả năng nhận diện danh tính (identity coverage) của MTA đã tụt dốc không phanh từ mức hơn 90% xuống chỉ còn khoảng 30% đến 60%</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mất mát dữ liệu này biến các kết quả của MTA thành sự phỏng đoán. Hơn thế nữa, MTA hoàn toàn "mù" trước các chiến dịch ngoại tuyến (Truyền hình, Bảng hiệu OOH, Radio), truyền miệng vô hình (Dark social) và ảnh hưởng của thương hiệu dài hạn. Kết quả là, MTA liên tục đánh giá quá cao (over-crediting) các kênh ở đáy phễu như Tìm kiếm trả phí (Paid Search) – đôi khi lạm phát ROI lên tới 30% hoặc gấp 2-3 lần – trong khi phủ nhận giá trị sống còn của các chiến dịch xây dựng nhận thức ở đỉnh phễu</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Trở Lại Ngoạn Mục Của Mô Hình Hỗn Hợp Tiếp Thị (MMM)</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bối cảnh bế tắc đó, Marketing Mix Modeling (MMM) nổi lên như một cứu cánh. MMM phân tích dữ liệu ở cấp độ vĩ mô, sử dụng phương trình hồi quy thống kê và suy luận nhân quả (top-down view) để tìm ra mối tương quan giữa tổng ngân sách chi cho từng kênh với tổng kết quả kinh doanh đạt được (doanh số, doanh thu)</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Sức mạnh tuyệt đối của MMM trong năm 2026 là tính miễn nhiễm bảo mật (privacy-durable by design). Do chỉ sử dụng dữ liệu chi tiêu tổng hợp mà không yêu cầu thu thập thông tin nhận dạng cá nhân (PII), MMM không bị ảnh hưởng bởi ATT, ITP hay GDPR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Thống kê cho thấy 27,6% giám đốc tiếp thị tại Mỹ đánh giá MMM là phương pháp đo lường đáng tin cậy nhất hiện nay, bỏ xa MTA (19,4%)</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Dù vậy, MMM có một nhược điểm là đòi hỏi nguồn dữ liệu lịch sử liên tục và sạch từ 78 đến 104 tuần (tương đương 2 năm) để hệ thống có thể phân tách các biến số ngoại cảnh như tính mùa vụ (seasonality), hiệu ứng dư âm (Adstock/carryover effects) và độ bão hòa kênh (saturation curves)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Đo Lường Hợp Nhất 3 Lớp (UMM)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chuyên gia marketing xuất chúng không tranh luận xem MMM hay MTA tốt hơn, mà tiến hành đan xen chúng thành một Khung Đo lường Tiếp thị Hợp nhất (Unified Marketing Measurement - UMM) gồm 3 lớp bổ trợ lẫn nhau</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Lớp 1 - MMM (Chiến lược Vĩ mô - Cập nhật Hàng quý):</w:t>
      </w:r>
      <w:r w:rsidDel="00000000" w:rsidR="00000000" w:rsidRPr="00000000">
        <w:rPr>
          <w:rFonts w:ascii="Google Sans" w:cs="Google Sans" w:eastAsia="Google Sans" w:hAnsi="Google Sans"/>
          <w:color w:val="1f1f1f"/>
          <w:rtl w:val="0"/>
        </w:rPr>
        <w:t xml:space="preserve"> Giải quyết câu hỏi chiến lược. Thiết lập các phong bì ngân sách (budget envelopes) lớn cho toàn bộ tổ chức, quyết định bao nhiêu tiền sẽ chảy vào Digital, bao nhiêu vào TV, và bao nhiêu cho Branding.</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Lớp 2 - MTA (Chiến thuật Vi mô - Cập nhật Hàng tuần/Ngày):</w:t>
      </w:r>
      <w:r w:rsidDel="00000000" w:rsidR="00000000" w:rsidRPr="00000000">
        <w:rPr>
          <w:rFonts w:ascii="Google Sans" w:cs="Google Sans" w:eastAsia="Google Sans" w:hAnsi="Google Sans"/>
          <w:color w:val="1f1f1f"/>
          <w:rtl w:val="0"/>
        </w:rPr>
        <w:t xml:space="preserve"> Giải quyết câu hỏi tối ưu. Nằm bên trong ranh giới phong bì ngân sách số do MMM ấn định, MTA được sử dụng như một động cơ chiến thuật để liên tục điều chỉnh giá thầu, hoán đổi nội dung quảng cáo (creatives) và phân bổ ngân sách tức thời giữa các nhóm quảng cáo số</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Lớp 3 - Geo-Lift / Incrementality Testing (Trọng tài Xác thực - Định kỳ):</w:t>
      </w:r>
      <w:r w:rsidDel="00000000" w:rsidR="00000000" w:rsidRPr="00000000">
        <w:rPr>
          <w:rFonts w:ascii="Google Sans" w:cs="Google Sans" w:eastAsia="Google Sans" w:hAnsi="Google Sans"/>
          <w:color w:val="1f1f1f"/>
          <w:rtl w:val="0"/>
        </w:rPr>
        <w:t xml:space="preserve"> Giải quyết mâu thuẫn. Khi báo cáo của MMM và MTA cung cấp các chỉ báo đối lập về hiệu quả của một kênh, các bài kiểm tra gia tăng (như tạm dừng hiển thị quảng cáo ở một vài thành phố cụ thể và so sánh với nhóm đối chứng) sẽ đóng vai trò như vị trọng tài khoa học để tìm ra tác động thực tế của kênh đó</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Đổi Mô Hình B2B: Account-Based Marketing (ABM)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Khác với mô hình B2C hướng tới đại chúng (Mass Marketing), lĩnh vực B2B yêu cầu chiến lược Account-Based Marketing (ABM) - Tiếp thị dựa trên Tài khoản. Gartner định nghĩa nền tảng ABM là một lớp phần mềm chuyên biệt cho phép các đội ngũ sales và marketing B2B phối hợp đồng bộ, nhắm mục tiêu vào các công ty (tài khoản) có giá trị cao cụ thể, và đo lường trực tiếp sự đóng góp của chúng vào doanh thu thực tế</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Trong Báo cáo Gartner Magic Quadrant 2025, các nền tảng tiên phong dẫn đầu thị trường ABM bao gồm Demandbase, 6sense, Terminus, và ZoomInfo</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Triển Khai ABM Chuyên Sâu 7 Bước</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Triển khai ABM không đơn thuần là gửi email cho một danh sách khách hàng doanh nghiệp; đó là một sự lật ngược của phễu tiếp thị truyền thống (Flipped Funnel), tập trung vào "tăng tốc chu kỳ doanh thu" (pipeline acceleration)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Trọng tâm của quá trình này xoay quanh các bước sau</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Thiết lập Hồ sơ Khách hàng Lý tưởng (ICP):</w:t>
      </w:r>
      <w:r w:rsidDel="00000000" w:rsidR="00000000" w:rsidRPr="00000000">
        <w:rPr>
          <w:rFonts w:ascii="Google Sans" w:cs="Google Sans" w:eastAsia="Google Sans" w:hAnsi="Google Sans"/>
          <w:color w:val="1f1f1f"/>
          <w:rtl w:val="0"/>
        </w:rPr>
        <w:t xml:space="preserve"> ICP không được nhầm lẫn với đối tượng mục tiêu chung chung. ICP phải đo lường các đặc tính báo hiệu sự thành công (firmographics), bao gồm ngành nghề, quy mô doanh thu, giai đoạn tăng trưởng (Series B/C), kiến trúc công nghệ hiện có (Ví dụ: đang dùng Salesforce hay HubSpot) và khả năng tương thích giải pháp của công ty với các điểm nghẽn của khách hàng.</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Xây Dựng Khối Danh Sách Tài Khoản Mục Tiêu (Target Account List):</w:t>
      </w:r>
      <w:r w:rsidDel="00000000" w:rsidR="00000000" w:rsidRPr="00000000">
        <w:rPr>
          <w:rFonts w:ascii="Google Sans" w:cs="Google Sans" w:eastAsia="Google Sans" w:hAnsi="Google Sans"/>
          <w:color w:val="1f1f1f"/>
          <w:rtl w:val="0"/>
        </w:rPr>
        <w:t xml:space="preserve"> Đây là việc tích hợp dữ liệu CRM có sẵn với các Dữ liệu Ý định (Intent Data) từ các nhà cung cấp như 6sense hoặc Bombora (các tín hiệu cho thấy một tổ chức đang tích cực tìm kiếm giải pháp trên Internet). Khối này được chia thành 3 phân tầng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Tier 1 (20-50 tài khoản cốt lõi):</w:t>
      </w:r>
      <w:r w:rsidDel="00000000" w:rsidR="00000000" w:rsidRPr="00000000">
        <w:rPr>
          <w:rFonts w:ascii="Google Sans" w:cs="Google Sans" w:eastAsia="Google Sans" w:hAnsi="Google Sans"/>
          <w:color w:val="1f1f1f"/>
          <w:rtl w:val="0"/>
        </w:rPr>
        <w:t xml:space="preserve"> Tiếp cận tỷ lệ 1:1. Yêu cầu cá nhân hóa hoàn toàn nội dung, nghiên cứu tài chính riêng biệt, xây dựng microsite độc quyền và thậm chí tiếp cận bằng quà tặng vật lý tinh tế (direct mail).</w:t>
      </w:r>
    </w:p>
    <w:p w:rsidR="00000000" w:rsidDel="00000000" w:rsidP="00000000" w:rsidRDefault="00000000" w:rsidRPr="00000000" w14:paraId="000000AA">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Tier 2 (50-200 tài khoản tiềm năng):</w:t>
      </w:r>
      <w:r w:rsidDel="00000000" w:rsidR="00000000" w:rsidRPr="00000000">
        <w:rPr>
          <w:rFonts w:ascii="Google Sans" w:cs="Google Sans" w:eastAsia="Google Sans" w:hAnsi="Google Sans"/>
          <w:color w:val="1f1f1f"/>
          <w:rtl w:val="0"/>
        </w:rPr>
        <w:t xml:space="preserve"> Tiếp cận tỷ lệ 1:few (1 đến một nhóm). Gom nhóm các công ty theo ngành hoặc theo use-case, sử dụng các kịch bản mẫu (templates) có tinh chỉnh theo ngữ cảnh.</w:t>
      </w:r>
    </w:p>
    <w:p w:rsidR="00000000" w:rsidDel="00000000" w:rsidP="00000000" w:rsidRDefault="00000000" w:rsidRPr="00000000" w14:paraId="000000AB">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Tier 3 (200-1,000 tài khoản phổ thông):</w:t>
      </w:r>
      <w:r w:rsidDel="00000000" w:rsidR="00000000" w:rsidRPr="00000000">
        <w:rPr>
          <w:rFonts w:ascii="Google Sans" w:cs="Google Sans" w:eastAsia="Google Sans" w:hAnsi="Google Sans"/>
          <w:color w:val="1f1f1f"/>
          <w:rtl w:val="0"/>
        </w:rPr>
        <w:t xml:space="preserve"> Tiếp cận 1:many. Nuôi dưỡng và phân phối quảng cáo tự động hóa ở quy mô lớn dựa trên phân khúc (programmatic).</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Lập Bản Đồ Quyền Lực (Stakeholder Mapping):</w:t>
      </w:r>
      <w:r w:rsidDel="00000000" w:rsidR="00000000" w:rsidRPr="00000000">
        <w:rPr>
          <w:rFonts w:ascii="Google Sans" w:cs="Google Sans" w:eastAsia="Google Sans" w:hAnsi="Google Sans"/>
          <w:color w:val="1f1f1f"/>
          <w:rtl w:val="0"/>
        </w:rPr>
        <w:t xml:space="preserve"> Sự phức tạp của B2B nằm ở chỗ quyết định mua hàng không được đưa ra bởi một cá nhân. Việc nhận diện ma trận quyền lực là yếu tố sống còn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Người bảo vệ (Champion):</w:t>
      </w:r>
      <w:r w:rsidDel="00000000" w:rsidR="00000000" w:rsidRPr="00000000">
        <w:rPr>
          <w:rFonts w:ascii="Google Sans" w:cs="Google Sans" w:eastAsia="Google Sans" w:hAnsi="Google Sans"/>
          <w:color w:val="1f1f1f"/>
          <w:rtl w:val="0"/>
        </w:rPr>
        <w:t xml:space="preserve"> Nhân sự khao khát giải pháp của bạn nhất, sẵn sàng thuyết phục các lãnh đạo nội bộ. Bạn cần trang bị cho họ tài liệu và luận điểm sắc bén.</w:t>
      </w:r>
    </w:p>
    <w:p w:rsidR="00000000" w:rsidDel="00000000" w:rsidP="00000000" w:rsidRDefault="00000000" w:rsidRPr="00000000" w14:paraId="000000A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Người Mua Kinh tế (Economic Buyer):</w:t>
      </w:r>
      <w:r w:rsidDel="00000000" w:rsidR="00000000" w:rsidRPr="00000000">
        <w:rPr>
          <w:rFonts w:ascii="Google Sans" w:cs="Google Sans" w:eastAsia="Google Sans" w:hAnsi="Google Sans"/>
          <w:color w:val="1f1f1f"/>
          <w:rtl w:val="0"/>
        </w:rPr>
        <w:t xml:space="preserve"> Giám đốc tài chính hoặc C-level, người ký duyệt ngân sách và đưa ra quyết định cuối cùng. Điểm chạm truyền thông phải nói về ROI và giảm chi phí.</w:t>
      </w:r>
    </w:p>
    <w:p w:rsidR="00000000" w:rsidDel="00000000" w:rsidP="00000000" w:rsidRDefault="00000000" w:rsidRPr="00000000" w14:paraId="000000AF">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Người Đánh giá Kỹ thuật (Technical Buyer):</w:t>
      </w:r>
      <w:r w:rsidDel="00000000" w:rsidR="00000000" w:rsidRPr="00000000">
        <w:rPr>
          <w:rFonts w:ascii="Google Sans" w:cs="Google Sans" w:eastAsia="Google Sans" w:hAnsi="Google Sans"/>
          <w:color w:val="1f1f1f"/>
          <w:rtl w:val="0"/>
        </w:rPr>
        <w:t xml:space="preserve"> Giám đốc CNTT hoặc bảo mật, người có quyền phủ quyết nếu giải pháp không an toàn hoặc khó tích hợp. Cần gửi cho họ Whitepaper về bảo mật.</w:t>
      </w:r>
    </w:p>
    <w:p w:rsidR="00000000" w:rsidDel="00000000" w:rsidP="00000000" w:rsidRDefault="00000000" w:rsidRPr="00000000" w14:paraId="000000B0">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Người Dùng (User Buyer):</w:t>
      </w:r>
      <w:r w:rsidDel="00000000" w:rsidR="00000000" w:rsidRPr="00000000">
        <w:rPr>
          <w:rFonts w:ascii="Google Sans" w:cs="Google Sans" w:eastAsia="Google Sans" w:hAnsi="Google Sans"/>
          <w:color w:val="1f1f1f"/>
          <w:rtl w:val="0"/>
        </w:rPr>
        <w:t xml:space="preserve"> Đội ngũ thực thi hàng ngày, quan tâm đến sự tiện lợi, giao diện và tiết kiệm thời gian.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Thành công của ABM phụ thuộc hoàn toàn vào một nền tảng doanh thu chia sẻ (shared revenue platform) nơi dữ liệu của cả Sales, Marketing và Customer Success đồng nhất với nhau. Các tín hiệu dự đoán từ AI sẽ quyết định tài khoản nào đang trong giai đoạn nóng nhất để đội ngũ bán hàng tiếp cận đúng thời điểm</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Trị Khủng Hoảng Truyền Thông Trong Kỷ Nguyên Mạng Xã Hội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bùng nổ của mạng xã hội khiến mọi sơ suất của thương hiệu đều có thể biến thành một thảm họa toàn cầu chỉ sau một đêm. Quản lý khủng hoảng không còn là nhiệm vụ riêng của phòng PR; nó là một kỹ năng phân tích rủi ro bắt buộc của mọi Giám đốc Tiếp thị. Nền tảng học thuật vững chắc nhất cho lĩnh vực này là Thuyết Truyền thông Khủng hoảng Tình huống (Situational Crisis Communication Theory - SCCT) do Tiến sĩ W. Timothy Coombs phát triển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SCCT cung cấp một khung hành động chiến lược dự báo giúp các nhà quản trị điều chỉnh phản ứng của tổ chức tỷ lệ thuận với mức độ nghiêm trọng của sự việc và quy mô phẫn nộ của cộng đồng, qua đó hạn chế tối đa sự hủy hoại danh tiếng</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SCCT chia khủng hoảng thành ba cụm chính, dựa trên yếu tố cốt lõi là </w:t>
      </w:r>
      <w:r w:rsidDel="00000000" w:rsidR="00000000" w:rsidRPr="00000000">
        <w:rPr>
          <w:rFonts w:ascii="Google Sans" w:cs="Google Sans" w:eastAsia="Google Sans" w:hAnsi="Google Sans"/>
          <w:i w:val="1"/>
          <w:iCs w:val="1"/>
          <w:color w:val="1f1f1f"/>
          <w:rtl w:val="0"/>
        </w:rPr>
        <w:t xml:space="preserve">mức độ quy kết trách nhiệm</w:t>
      </w:r>
      <w:r w:rsidDel="00000000" w:rsidR="00000000" w:rsidRPr="00000000">
        <w:rPr>
          <w:rFonts w:ascii="Google Sans" w:cs="Google Sans" w:eastAsia="Google Sans" w:hAnsi="Google Sans"/>
          <w:color w:val="1f1f1f"/>
          <w:rtl w:val="0"/>
        </w:rPr>
        <w:t xml:space="preserve"> (attribution of responsibility)</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Nhóm Nạn nhân (Victim Cluster):</w:t>
      </w:r>
      <w:r w:rsidDel="00000000" w:rsidR="00000000" w:rsidRPr="00000000">
        <w:rPr>
          <w:rFonts w:ascii="Google Sans" w:cs="Google Sans" w:eastAsia="Google Sans" w:hAnsi="Google Sans"/>
          <w:color w:val="1f1f1f"/>
          <w:rtl w:val="0"/>
        </w:rPr>
        <w:t xml:space="preserve"> Xảy ra khi tổ chức cũng là nạn nhân của sự kiện (ví dụ: bão lụt phá hủy nhà máy, bạo lực tại nơi làm việc do người ngoài gây ra, hoặc các tin đồn thất thiệt, tống tiền). Trách nhiệm quy kết từ công chúng rất thấp. </w:t>
      </w:r>
      <w:r w:rsidDel="00000000" w:rsidR="00000000" w:rsidRPr="00000000">
        <w:rPr>
          <w:rFonts w:ascii="Google Sans" w:cs="Google Sans" w:eastAsia="Google Sans" w:hAnsi="Google Sans"/>
          <w:i w:val="1"/>
          <w:iCs w:val="1"/>
          <w:color w:val="1f1f1f"/>
          <w:rtl w:val="0"/>
        </w:rPr>
        <w:t xml:space="preserve">Chiến lược:</w:t>
      </w:r>
      <w:r w:rsidDel="00000000" w:rsidR="00000000" w:rsidRPr="00000000">
        <w:rPr>
          <w:rFonts w:ascii="Google Sans" w:cs="Google Sans" w:eastAsia="Google Sans" w:hAnsi="Google Sans"/>
          <w:color w:val="1f1f1f"/>
          <w:rtl w:val="0"/>
        </w:rPr>
        <w:t xml:space="preserve"> Sử dụng chiến lược phủ nhận nhẹ nhàng, giải thích khách quan và thể hiện sự đồng cảm với các nạn nhân khác.</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Nhóm Tai nạn (Accidental Cluster):</w:t>
      </w:r>
      <w:r w:rsidDel="00000000" w:rsidR="00000000" w:rsidRPr="00000000">
        <w:rPr>
          <w:rFonts w:ascii="Google Sans" w:cs="Google Sans" w:eastAsia="Google Sans" w:hAnsi="Google Sans"/>
          <w:color w:val="1f1f1f"/>
          <w:rtl w:val="0"/>
        </w:rPr>
        <w:t xml:space="preserve"> Hành động của tổ chức gây ra rủi ro hoặc thiệt hại nhưng không mang tính cố ý (ví dụ: lỗi hệ thống kỹ thuật bất ngờ, sản phẩm bị lỗi do nhà cung cấp thứ ba, sự cố máy móc). Mức độ trách nhiệm quy kết ở mức trung bình. </w:t>
      </w:r>
      <w:r w:rsidDel="00000000" w:rsidR="00000000" w:rsidRPr="00000000">
        <w:rPr>
          <w:rFonts w:ascii="Google Sans" w:cs="Google Sans" w:eastAsia="Google Sans" w:hAnsi="Google Sans"/>
          <w:i w:val="1"/>
          <w:iCs w:val="1"/>
          <w:color w:val="1f1f1f"/>
          <w:rtl w:val="0"/>
        </w:rPr>
        <w:t xml:space="preserve">Chiến lược:</w:t>
      </w:r>
      <w:r w:rsidDel="00000000" w:rsidR="00000000" w:rsidRPr="00000000">
        <w:rPr>
          <w:rFonts w:ascii="Google Sans" w:cs="Google Sans" w:eastAsia="Google Sans" w:hAnsi="Google Sans"/>
          <w:color w:val="1f1f1f"/>
          <w:rtl w:val="0"/>
        </w:rPr>
        <w:t xml:space="preserve"> Sử dụng chiến lược giảm nhẹ (Diminish strategy), thanh minh rằng nguyên nhân nằm ngoài tầm kiểm soát của tổ chức, đồng thời cam kết điều tra minh bạch.</w:t>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Nhóm Có thể Phòng ngừa (Preventable Cluster):</w:t>
      </w:r>
      <w:r w:rsidDel="00000000" w:rsidR="00000000" w:rsidRPr="00000000">
        <w:rPr>
          <w:rFonts w:ascii="Google Sans" w:cs="Google Sans" w:eastAsia="Google Sans" w:hAnsi="Google Sans"/>
          <w:color w:val="1f1f1f"/>
          <w:rtl w:val="0"/>
        </w:rPr>
        <w:t xml:space="preserve"> Đây là loại hình nguy hiểm nhất, xảy ra do sự bất cẩn, vi phạm pháp luật, gian lận tài chính hoặc sự kiêu ngạo từ ban quản trị. Tổ chức cố tình đặt nhân viên và khách hàng vào rủi ro. Trách nhiệm quy kết cực kỳ cao. </w:t>
      </w:r>
      <w:r w:rsidDel="00000000" w:rsidR="00000000" w:rsidRPr="00000000">
        <w:rPr>
          <w:rFonts w:ascii="Google Sans" w:cs="Google Sans" w:eastAsia="Google Sans" w:hAnsi="Google Sans"/>
          <w:i w:val="1"/>
          <w:iCs w:val="1"/>
          <w:color w:val="1f1f1f"/>
          <w:rtl w:val="0"/>
        </w:rPr>
        <w:t xml:space="preserve">Chiến lược:</w:t>
      </w:r>
      <w:r w:rsidDel="00000000" w:rsidR="00000000" w:rsidRPr="00000000">
        <w:rPr>
          <w:rFonts w:ascii="Google Sans" w:cs="Google Sans" w:eastAsia="Google Sans" w:hAnsi="Google Sans"/>
          <w:color w:val="1f1f1f"/>
          <w:rtl w:val="0"/>
        </w:rPr>
        <w:t xml:space="preserve"> Bắt buộc áp dụng chiến lược xây dựng lại (Rebuild strategy). Tổ chức phải lập tức đưa ra lời xin lỗi chân thành, nhận hoàn toàn trách nhiệm, cung cấp các gói bồi thường đầy đủ và công khai các biện pháp khắc phục triệt để.</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ba nhóm trên, SCCT nhấn mạnh đến hai yếu tố khuếch đại (intensifiers): "lịch sử khủng hoảng" (tổ chức đã từng gặp vấn đề tương tự chưa) và "danh tiếng sẵn có" (tổ chức có được yêu mến trước đó không). Nếu một tổ chức có lịch sử tồi tệ, ngay cả một tai nạn (Accidental) cũng sẽ bị công chúng trừng phạt khốc liệt như một lỗi cố ý (Preventable).</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Bức Tranh Ngân Sách và Xu Hướng Đầu Tư Marketing 2026 (Theo Dữ Liệu Gartner)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thức lý thuyết chỉ có giá trị khi nó được phản ánh vào dòng tiền. Dữ liệu tài chính là minh chứng rõ ràng nhất cho sự biến đổi cấu trúc của ngành marketing. Báo cáo "Gartner 2026 CMO Spend Survey" (Khảo sát Chi tiêu của CMO), thực hiện trên 401 lãnh đạo marketing cấp cao tại Bắc Mỹ và Châu Âu, cung cấp cái nhìn toàn cảnh về cách các dòng tiền đang chảy trong thời kỳ công nghệ hỗn loạn</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Tỷ Trọng Ngân Sách Đi Ngang:</w:t>
      </w:r>
      <w:r w:rsidDel="00000000" w:rsidR="00000000" w:rsidRPr="00000000">
        <w:rPr>
          <w:rFonts w:ascii="Google Sans" w:cs="Google Sans" w:eastAsia="Google Sans" w:hAnsi="Google Sans"/>
          <w:color w:val="1f1f1f"/>
          <w:rtl w:val="0"/>
        </w:rPr>
        <w:t xml:space="preserve"> Trái với kỳ vọng về sự bùng nổ sau thời kỳ phục hồi kinh tế, ngân sách marketing năm 2026 đang dậm chân tại chỗ ở mức trung bình 7,8% tổng doanh thu của công ty – một con số không thay đổi kể từ mức đáy năm 2023</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Điều này buộc các CMO phải làm được nhiều việc hơn với số tiền ít hơn, tạo ra một áp lực khốc liệt về việc chứng minh lợi tức đầu tư (ROI).</w:t>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Sự Phân Cực: Acquisition Lấn Át Retention:</w:t>
      </w:r>
      <w:r w:rsidDel="00000000" w:rsidR="00000000" w:rsidRPr="00000000">
        <w:rPr>
          <w:rFonts w:ascii="Google Sans" w:cs="Google Sans" w:eastAsia="Google Sans" w:hAnsi="Google Sans"/>
          <w:color w:val="1f1f1f"/>
          <w:rtl w:val="0"/>
        </w:rPr>
        <w:t xml:space="preserve"> Dữ liệu cho thấy 62,6% tổng chi tiêu phương tiện truyền thông (media spend) đang bị đổ dồn vào các chiến dịch nâng cao nhận thức (awareness) và thu hút khách hàng mới (conversion) - một sự gia tăng hơn 10% so với năm 2024</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Ở thái cực ngược lại, ngân sách dành cho lòng trung thành và giữ chân khách hàng (loyalty and retention) lại sụt giảm mạnh mẽ 29% kể từ năm 2024, thu hẹp xuống chiếm chưa tới 15% tổng phân bổ truyền thông</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Nhận định Chuyên sâu về Sự Mâu Thuẫn Chiến Lược:</w:t>
      </w:r>
      <w:r w:rsidDel="00000000" w:rsidR="00000000" w:rsidRPr="00000000">
        <w:rPr>
          <w:rFonts w:ascii="Google Sans" w:cs="Google Sans" w:eastAsia="Google Sans" w:hAnsi="Google Sans"/>
          <w:color w:val="1f1f1f"/>
          <w:rtl w:val="0"/>
        </w:rPr>
        <w:t xml:space="preserve"> Sự thay đổi phân bổ này phản ánh một nghịch lý chiến lược sâu sắc và nguy hiểm. Trong khi các phân tích tài chính (từ Bain &amp; Company và Wharton) chứng minh toán học rằng việc tăng tỷ lệ giữ chân khách hàng lên 5% sẽ mang lại từ 25-95% lợi nhuận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thì các CMO lại đang hành động hoàn toàn ngược lại. Nguyên nhân cốt lõi là do sức ép báo cáo số lượng (leads, new logos) theo từng quý từ các hội đồng quản trị và các hệ thống AI đang liên tục tối ưu hóa các kênh Performance Marketing ngắn hạn vì chúng quá dễ đo lường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Gartner cảnh báo rằng các tổ chức trưởng thành về AI cao nhất (AI-mature organizations) thực tế lại hành động khôn ngoan hơn: họ phân bổ tỷ trọng ngân sách vào việc giữ chân khách hàng (Retention) cao hơn đáng kể so với các đối thủ yếu kém bị cuốn vào vòng xoáy đuổi bắt khách mới</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Sự Thống Trị Kỹ Thuật Số (Digital Dominance):</w:t>
      </w:r>
      <w:r w:rsidDel="00000000" w:rsidR="00000000" w:rsidRPr="00000000">
        <w:rPr>
          <w:rFonts w:ascii="Google Sans" w:cs="Google Sans" w:eastAsia="Google Sans" w:hAnsi="Google Sans"/>
          <w:color w:val="1f1f1f"/>
          <w:rtl w:val="0"/>
        </w:rPr>
        <w:t xml:space="preserve"> Các kênh kỹ thuật số hiện đang chiếm hơn hai phần ba (2/3) tổng đầu tư truyền thông. Sự tăng trưởng 18% của ngân sách truyền thông kỹ thuật số kể từ năm 2024 phản ánh niềm tin vào khả năng cá nhân hóa dựa trên AI</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Đáng chú ý, ngân sách dành cho công nghệ tiếp thị (Martech) đã giảm từ 22,4% (2025) xuống 19,4% (2026), không phải do công nghệ bớt quan trọng, mà do các doanh nghiệp đang tiến hành hợp nhất (consolidation) các phần mềm dư thừa và tỷ lệ sử dụng công nghệ Martech hiện hành đã rơi xuống mức rủi ro 49%</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Nghịch Lý Về Chi Phí Nhân Sự Giữa Kỷ Nguyên AI:</w:t>
      </w:r>
      <w:r w:rsidDel="00000000" w:rsidR="00000000" w:rsidRPr="00000000">
        <w:rPr>
          <w:rFonts w:ascii="Google Sans" w:cs="Google Sans" w:eastAsia="Google Sans" w:hAnsi="Google Sans"/>
          <w:color w:val="1f1f1f"/>
          <w:rtl w:val="0"/>
        </w:rPr>
        <w:t xml:space="preserve"> Một giả định phổ biến là việc ứng dụng AI tạo sinh (GenAI) sẽ loại bỏ nhân sự và giảm quỹ lương. Báo cáo Gartner chứng minh điều ngược lại: Tỷ trọng ngân sách dành cho chi phí lao động (Labor) trong marketing thực tế lại tăng từ 21,9% trong năm 2025 lên 24,5% trong năm 2026</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Nguyên nhân là do công nghệ AI tự thân nó không mang lại chiến lược. 70% các CMO thừa nhận rằng quy trình nội bộ của họ chưa đủ chín muồi để mở rộng quy mô AI, và 38% xác định việc thiếu hụt nguồn nhân lực có chuyên môn AI là rào cản lớn nhất</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Điều này minh chứng rằng các vị trí điều hành dữ liệu và kiến trúc sư chiến lược đang trở nên đắt giá hơn bao giờ hết.</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Thực Tiễn Dựa Trên Các Case Study Nổi Bật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hệ thống hóa và chứng minh tính hiệu quả của các khung lý thuyết học thuật, việc đối chiếu với các chiến dịch thực tiễn mang lại những góc nhìn sắc bén về năng lực điều hướng thị trường.</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1: Biti's Hunter - Sự Hồi Sinh Bằng Thông Điệp "Đi Để Trở Về"</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Biti's từng là một thương hiệu quốc dân đầy tự hào được thành lập từ năm 1982 với định vị "Nâng niu bàn chân Việt". Tuy nhiên, bước sang thập niên 2010, với sự đổ bộ của các gã khổng lồ quốc tế (Nike, Adidas, Converse, Vans), Biti's đối mặt với nguy cơ biến mất khi bị đóng đinh với hình ảnh "thương hiệu giày dép trẻ em" lỗi thời. Giai đoạn 2016 - 2017 chứng kiến chiến dịch tái định vị lịch sử "Đi để trở về", biến Biti's Hunter thành một thế lực trong phân khúc thanh niên (18-30 tuổi)</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Khám Phá Insight và Xây Dựng Điểm Xét Duyệt Danh Mục (CEPs):</w:t>
      </w:r>
      <w:r w:rsidDel="00000000" w:rsidR="00000000" w:rsidRPr="00000000">
        <w:rPr>
          <w:rFonts w:ascii="Google Sans" w:cs="Google Sans" w:eastAsia="Google Sans" w:hAnsi="Google Sans"/>
          <w:color w:val="1f1f1f"/>
          <w:rtl w:val="0"/>
        </w:rPr>
        <w:t xml:space="preserve"> Đội ngũ chiến lược của Biti's thấu hiểu một mâu thuẫn sâu sắc của giới trẻ Việt Nam: Họ khao khát khẳng định bản thân thông qua những chuyến đi khám phá, nhưng lại phải đối mặt với áp lực đoàn tụ gia đình trong dịp Tết cổ truyền. Phân tích dữ liệu (Social Listening) chỉ ra có hơn 87.000 cuộc đối thoại nổ ra trên mạng xã hội về chủ đề "Đi hay Về"</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Biti's đã giải quyết hoàn hảo mâu thuẫn này bằng triết lý: "Đi thật xa, để khám phá, để trưởng thành hơn và trân trọng sự trở về... Đi để trở về!"</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Bằng cách này, Biti's áp dụng triệt để nguyên lý của Byron Sharp, tạo ra một Category Entry Point (CEP) vô cùng mạnh mẽ kết nối đôi giày thể thao với bối cảnh "hành trình xê dịch ngày Lễ Tết" trong tiềm thức khách hàng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Thực Thi Truyền Thông Tích Hợp (IMC) và Kích Hoạt Hành Vi:</w:t>
      </w:r>
      <w:r w:rsidDel="00000000" w:rsidR="00000000" w:rsidRPr="00000000">
        <w:rPr>
          <w:rFonts w:ascii="Google Sans" w:cs="Google Sans" w:eastAsia="Google Sans" w:hAnsi="Google Sans"/>
          <w:color w:val="1f1f1f"/>
          <w:rtl w:val="0"/>
        </w:rPr>
        <w:t xml:space="preserve"> Vượt ra khỏi "vùng an toàn" phân tán ngân sách, Biti's đã thực hiện một nước cờ táo bạo: dồn toàn bộ nguồn lực vào hai Video Âm nhạc (Music Video - MV) với các nghệ sĩ hàng đầu</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Lần đầu tiên, MV "Lạc Trôi" của Sơn Tùng M-TP xuất hiện đôi giày thể thao hiện đại Biti's Hunter lạc lõng giữa bối cảnh cung đình cổ trang. Sự tương phản này tạo ra một cơn bão tranh luận đa chiều, buộc cộng đồng mạng (Hệ thống 1) phải chú ý và tương tác mãnh liệt</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Ngay sau đó, MV "Đi để trở về" của Soobin Hoàng Sơn ra mắt, mang lại cảm xúc hài hòa (Hệ thống 2), chính thức định hình bản sắc thương hiệu. Các Hashtag (#TeamDi, #TeamTroVe) thu hút hàng triệu lượt chia sẻ</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Chiến Lược Tâm Lý Học Giá (Pricing Psychology):</w:t>
      </w:r>
      <w:r w:rsidDel="00000000" w:rsidR="00000000" w:rsidRPr="00000000">
        <w:rPr>
          <w:rFonts w:ascii="Google Sans" w:cs="Google Sans" w:eastAsia="Google Sans" w:hAnsi="Google Sans"/>
          <w:color w:val="1f1f1f"/>
          <w:rtl w:val="0"/>
        </w:rPr>
        <w:t xml:space="preserve"> Để định vị thương hiệu ngang tầm quốc tế nhưng vẫn phù hợp với sức mua, Biti's niêm yết mức giá dao động từ 799.000 VNĐ đến 1.500.000 VNĐ</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Mức giá này cung cấp bằng chứng về chất lượng (thỏa mãn phân tích của Hệ thống 2), đồng thời thương hiệu khôn khéo thực hiện các chiến dịch làm mềm giá (promotional discounts) thông qua mạng lưới bán lẻ và thương mại điện tử để kích thích hành vi mua bốc đồng của Hệ thống 1</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Kết Quả Tăng Trưởng:</w:t>
      </w:r>
      <w:r w:rsidDel="00000000" w:rsidR="00000000" w:rsidRPr="00000000">
        <w:rPr>
          <w:rFonts w:ascii="Google Sans" w:cs="Google Sans" w:eastAsia="Google Sans" w:hAnsi="Google Sans"/>
          <w:color w:val="1f1f1f"/>
          <w:rtl w:val="0"/>
        </w:rPr>
        <w:t xml:space="preserve"> Chỉ trong vòng một tuần sau khi tung chiến dịch, doanh số Biti's tăng vọt 300%, sản phẩm liên tục cháy hàng. Thành công tài chính này giúp Biti's được Tạp chí Forbes định giá 17 triệu USD (năm 2017)</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Chiến dịch được tiếp nối qua nhiều Mùa Tết (Season 2, 3, 4) và mở rộng sang các chiến dịch nâng cao vị thế phụ nữ (như "Bước về phía mặt trời" với H'Hen Niê), khẳng định nguyên tắc số 6 của Kotler về Trách nhiệm xã hội và Đổi mới liên tục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2: VinFast - Vũ Khí Tự Hào Dân Tộc Và Chiến Lược Định Vị Kép</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VinFast, thuộc tập đoàn Vingroup, ra mắt với một sứ mệnh tham vọng chưa từng có: Trở thành nhà sản xuất ô tô và công nghệ thông minh hàng đầu, không chỉ thống trị thị trường nội địa mà còn mở rộng thị phần ra toàn cầu. Phân tích case study VinFast cho thấy nghệ thuật áp dụng song song cả tâm lý học cảm xúc và định vị lý tính (Dual Positioning)</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Định Vị Dựa Trên Bản Sắc (Emotional/Identity Positioning):</w:t>
      </w:r>
      <w:r w:rsidDel="00000000" w:rsidR="00000000" w:rsidRPr="00000000">
        <w:rPr>
          <w:rFonts w:ascii="Google Sans" w:cs="Google Sans" w:eastAsia="Google Sans" w:hAnsi="Google Sans"/>
          <w:color w:val="1f1f1f"/>
          <w:rtl w:val="0"/>
        </w:rPr>
        <w:t xml:space="preserve"> Ở thị trường nội địa, VinFast khai thác tối đa tài sản vô hình là "niềm tự hào dân tộc". Biểu tượng logo chữ "V" được thiết kế tinh gọn mang đa tầng ý nghĩa: Việt Nam (lòng tự tôn), Vingroup (nền tảng tập đoàn mẹ vững chắc) và Victory (khát vọng chiến thắng vươn tầm thế giới)</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Thông điệp định vị "Thương hiệu của người Việt, do người Việt lựa chọn" (cùng với việc cho phép cộng đồng bình chọn mẫu thiết kế xe) đã kích hoạt một phản ứng ái quốc mạnh mẽ. Chiến lược này giúp thương hiệu xâm nhập thị trường và xây dựng niềm tin gần như ngay lập tức, vượt qua rào cản chi phí chuyển đổi khổng lồ trong ngành ô tô</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Định Vị Dựa Trên Tiêu Chuẩn Toàn Cầu (Rational Positioning):</w:t>
      </w:r>
      <w:r w:rsidDel="00000000" w:rsidR="00000000" w:rsidRPr="00000000">
        <w:rPr>
          <w:rFonts w:ascii="Google Sans" w:cs="Google Sans" w:eastAsia="Google Sans" w:hAnsi="Google Sans"/>
          <w:color w:val="1f1f1f"/>
          <w:rtl w:val="0"/>
        </w:rPr>
        <w:t xml:space="preserve"> Tuy nhiên, cảm xúc không thể duy trì sự sống của một sản phẩm kỹ thuật cao. Để loại bỏ triệt để định kiến lịch sử về "hàng Việt Nam chất lượng thấp", VinFast cung cấp cho Hệ thống 2 của người tiêu dùng các bằng chứng thép: hợp tác với hệ sinh thái các nhà cung cấp linh kiện và thiết kế tinh hoa của thế giới như Pininfarina (Ý), Bosch, ZF, Magna Steyr</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Chiến Lược Tương Lai (Future-Proofing):</w:t>
      </w:r>
      <w:r w:rsidDel="00000000" w:rsidR="00000000" w:rsidRPr="00000000">
        <w:rPr>
          <w:rFonts w:ascii="Google Sans" w:cs="Google Sans" w:eastAsia="Google Sans" w:hAnsi="Google Sans"/>
          <w:color w:val="1f1f1f"/>
          <w:rtl w:val="0"/>
        </w:rPr>
        <w:t xml:space="preserve"> Bằng cách chuyển hướng đột ngột và dứt khoát sang sản xuất xe điện thông minh (EV), VinFast không chỉ đáp ứng xu hướng di chuyển xanh mà còn né tránh sự cạnh tranh lâu đời trong mảng xe xăng, mở đường cho việc định vị "Thương hiệu xe điện toàn cầu thông minh" trên sân chơi quốc tế</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Chân dung của một chuyên gia marketing vào thời điểm năm 2026 đã thoát khỏi sự phân cực giữa một bên là "Người làm sáng tạo mơ mộng" và một bên là "Nhà phân tích dữ liệu khô khan". Nền tảng kiến thức yêu cầu hiện nay là mô hình nhân sự chữ T (T-shaped Marketer) hoàn hảo: Sở hữu chiều rộng về tư duy quản trị, kiến thức kinh tế, am hiểu đa kênh và chiều sâu vượt trội ở khả năng phân tích dữ liệu chiến lược cùng kiến trúc công nghệ.</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xuất sắc của một vị giám đốc marketing nằm ở khả năng điều hướng thuần thục qua những vùng xám của học thuật và thực tiễn:</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Nhận biết chính xác khi nào một ngành hàng cần dùng định vị siêu mục tiêu và lòng trung thành (Học thuyết Kotler) và khi nào cần tối ưu hóa độ phủ đại chúng, xây dựng Category Entry Points để chiến thắng trên mặt trận quy mô (Luận điểm Byron Sharp).</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Làm chủ sức mạnh của thuật toán AI trong cấu trúc zero-copy của Enterprise Data Cloud để phục vụ phân giải danh tính theo thời gian thực (Identity Resolution).</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Không mù quáng tin vào ảo ảnh của mô hình phân bổ MTA ngắn hạn bị phá vỡ bởi luật bảo mật, mà biết cách xây dựng Khung Đo lường Hợp nhất (UMM) kết hợp tư duy chiến lược của MMM để đo đếm giá trị nhân quả.</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Hiểu rõ cấu trúc tài khoản đa cấp (ABM) trong thị trường B2B và sử dụng thành thạo SCCT để bảo vệ danh tiếng tổ chức giữa bão tố mạng xã hội.</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Hơn hết, giữa bối cảnh 62,6% ngân sách truyền thông đang bị ném vào guồng quay đốt tiền của các chiến dịch thu hút khách hàng mới (Acquisition) theo chỉ số Gartner, chuyên gia marketing tài ba là người thấu hiểu nguyên lý tài chính tối thượng: Năng lực tối ưu hóa Giá trị Vòng đời Khách hàng (CLV) và giữ chân khách hàng (Retention) mới thực sự là cỗ máy in lợi nhuận bền vững nhất của mọi tổ chức thương mại. Đầu tư vào những khách hàng đã tin tưởng doanh nghiệp không chỉ là một đạo đức kinh doanh, mà còn là phương trình kinh tế chính xác nhất để giành chiến thắng trong thập kỷ số hóa đầy khắc nghiệt.</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