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17"/>
        <w:gridCol w:w="363"/>
        <w:gridCol w:w="364"/>
        <w:gridCol w:w="364"/>
        <w:gridCol w:w="364"/>
        <w:gridCol w:w="364"/>
      </w:tblGrid>
      <w:tr w:rsidRPr="00091012" w:rsidR="00CC3056" w:rsidTr="4D717D26"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288A5F31">
            <w:r w:rsidRPr="00091012">
              <w:rPr>
                <w:b/>
              </w:rPr>
              <w:t xml:space="preserve">Student name </w:t>
            </w:r>
            <w:r w:rsidR="008D49A7">
              <w:rPr>
                <w:b/>
              </w:rPr>
              <w:t>Ofelia Hantoiu</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8F0B7D" w:rsidTr="4D717D26"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8F0B7D" w:rsidTr="4D717D26"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8F0B7D" w:rsidTr="4D717D26"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8F0B7D" w:rsidTr="4D717D26"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8F0B7D" w:rsidTr="4D717D26"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8F0B7D" w:rsidTr="4D717D26"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8F0B7D" w:rsidTr="4D717D26"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8F0B7D" w:rsidTr="4D717D26"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8F0B7D" w:rsidTr="4D717D26"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8F0B7D" w:rsidTr="4D717D26"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8F0B7D" w:rsidTr="4D717D26"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8F0B7D" w:rsidTr="4D717D26"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271AF911">
            <w:r w:rsidR="638CF86D">
              <w:rPr/>
              <w:t>8.5</w:t>
            </w:r>
          </w:p>
          <w:p w:rsidRPr="00091012" w:rsidR="00CC3056" w:rsidP="001213A6" w:rsidRDefault="00CC3056" w14:paraId="76914D9A" w14:textId="77777777"/>
        </w:tc>
      </w:tr>
      <w:tr w:rsidRPr="00091012" w:rsidR="00CC3056" w:rsidTr="4D717D26"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00BC1B92" w:rsidP="001213A6" w:rsidRDefault="000047B4" w14:paraId="43F88CC3" w14:textId="381263C4">
            <w:pPr>
              <w:rPr>
                <w:color w:val="000000"/>
                <w:sz w:val="27"/>
                <w:szCs w:val="27"/>
              </w:rPr>
            </w:pPr>
            <w:r>
              <w:rPr>
                <w:color w:val="000000"/>
                <w:sz w:val="27"/>
                <w:szCs w:val="27"/>
              </w:rPr>
              <w:t xml:space="preserve">Ofelia really did </w:t>
            </w:r>
            <w:r w:rsidR="008F0B7D">
              <w:rPr>
                <w:color w:val="000000"/>
                <w:sz w:val="27"/>
                <w:szCs w:val="27"/>
              </w:rPr>
              <w:t>an outstanding job</w:t>
            </w:r>
            <w:r>
              <w:rPr>
                <w:color w:val="000000"/>
                <w:sz w:val="27"/>
                <w:szCs w:val="27"/>
              </w:rPr>
              <w:t xml:space="preserve"> in order for us to have a </w:t>
            </w:r>
            <w:r w:rsidR="008F0B7D">
              <w:rPr>
                <w:color w:val="000000"/>
                <w:sz w:val="27"/>
                <w:szCs w:val="27"/>
              </w:rPr>
              <w:t xml:space="preserve">friendly collaboration and experience, having as less problems and inconveniences as possible. She has also been showing her skills in the database working environment. </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2E5197"/>
    <w:rsid w:val="00731D0E"/>
    <w:rsid w:val="00841F7E"/>
    <w:rsid w:val="008D49A7"/>
    <w:rsid w:val="008F0B7D"/>
    <w:rsid w:val="009F2F88"/>
    <w:rsid w:val="00AF398C"/>
    <w:rsid w:val="00B97C38"/>
    <w:rsid w:val="00BC1B92"/>
    <w:rsid w:val="00CC3056"/>
    <w:rsid w:val="00DD3A09"/>
    <w:rsid w:val="00E27B6B"/>
    <w:rsid w:val="00E537FF"/>
    <w:rsid w:val="4D717D26"/>
    <w:rsid w:val="638CF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2024-06-20T14:16:00.0000000Z</dcterms:created>
  <dcterms:modified xsi:type="dcterms:W3CDTF">2024-06-21T17:13:30.7054989Z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