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CA200C" w:rsidRPr="00BA56C0" w:rsidRDefault="002B68FF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60"/>
          <w:szCs w:val="60"/>
          <w:lang w:eastAsia="ru-RU"/>
        </w:rPr>
        <w:t xml:space="preserve">Платформа </w:t>
      </w:r>
      <w:r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  <w:t>m</w:t>
      </w:r>
      <w:r w:rsidRPr="00BA56C0">
        <w:rPr>
          <w:rFonts w:ascii="Trebuchet MS" w:eastAsia="Times New Roman" w:hAnsi="Trebuchet MS" w:cs="Times New Roman"/>
          <w:color w:val="000000"/>
          <w:sz w:val="60"/>
          <w:szCs w:val="60"/>
          <w:lang w:eastAsia="ru-RU"/>
        </w:rPr>
        <w:t>.</w:t>
      </w:r>
      <w:r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  <w:t>LBS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00C" w:rsidRDefault="00CA200C" w:rsidP="00CA200C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CA200C">
        <w:rPr>
          <w:rFonts w:ascii="Arial" w:eastAsia="Times New Roman" w:hAnsi="Arial" w:cs="Arial"/>
          <w:i/>
          <w:iCs/>
          <w:color w:val="000000"/>
          <w:lang w:eastAsia="ru-RU"/>
        </w:rPr>
        <w:t xml:space="preserve">Статистический </w:t>
      </w:r>
      <w:r w:rsidR="00B65650">
        <w:rPr>
          <w:rFonts w:ascii="Arial" w:eastAsia="Times New Roman" w:hAnsi="Arial" w:cs="Arial"/>
          <w:i/>
          <w:iCs/>
          <w:color w:val="000000"/>
          <w:lang w:eastAsia="ru-RU"/>
        </w:rPr>
        <w:t>ежемесячный</w:t>
      </w:r>
      <w:r w:rsidRPr="00CA200C">
        <w:rPr>
          <w:rFonts w:ascii="Arial" w:eastAsia="Times New Roman" w:hAnsi="Arial" w:cs="Arial"/>
          <w:i/>
          <w:iCs/>
          <w:color w:val="000000"/>
          <w:lang w:eastAsia="ru-RU"/>
        </w:rPr>
        <w:t xml:space="preserve"> отчет.</w:t>
      </w:r>
    </w:p>
    <w:p w:rsidR="00B65650" w:rsidRPr="00CA200C" w:rsidRDefault="00B65650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00C" w:rsidRPr="00CA200C" w:rsidRDefault="00B65650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Период формирования отчета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06.08.2015 – 06.09.2015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Платформа: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определения местоположения абонентов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m.LBS</w:t>
      </w:r>
      <w:proofErr w:type="spellEnd"/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Вендор</w:t>
      </w:r>
      <w:proofErr w:type="spellEnd"/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m.Technologies</w:t>
      </w:r>
      <w:proofErr w:type="spellEnd"/>
    </w:p>
    <w:p w:rsidR="00CA200C" w:rsidRPr="00780B11" w:rsidRDefault="00CA200C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Функциональность: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Взаимодействие с компоне</w:t>
      </w:r>
      <w:bookmarkStart w:id="0" w:name="_GoBack"/>
      <w:bookmarkEnd w:id="0"/>
      <w:r w:rsidRPr="00CA200C">
        <w:rPr>
          <w:rFonts w:ascii="Arial" w:eastAsia="Times New Roman" w:hAnsi="Arial" w:cs="Arial"/>
          <w:color w:val="000000"/>
          <w:lang w:eastAsia="ru-RU"/>
        </w:rPr>
        <w:t xml:space="preserve">нтами GSM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Network</w:t>
      </w:r>
      <w:proofErr w:type="spellEnd"/>
      <w:r w:rsidRPr="00CA20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Core</w:t>
      </w:r>
      <w:proofErr w:type="spellEnd"/>
    </w:p>
    <w:p w:rsidR="00CA200C" w:rsidRPr="00780B11" w:rsidRDefault="00CA200C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4069" w:rsidRPr="009B4069" w:rsidRDefault="009B4069" w:rsidP="00B65650">
      <w:pPr>
        <w:pStyle w:val="2"/>
      </w:pPr>
      <w:r>
        <w:t>Основные потребители сервиса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377" w:rsidRDefault="00275433" w:rsidP="00275433">
      <w:pPr>
        <w:ind w:hanging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5433" w:rsidRDefault="00275433" w:rsidP="00275433">
      <w:pPr>
        <w:rPr>
          <w:lang w:val="en-US"/>
        </w:rPr>
      </w:pPr>
    </w:p>
    <w:p w:rsidR="00275433" w:rsidRDefault="00275433" w:rsidP="00275433">
      <w:pPr>
        <w:rPr>
          <w:lang w:val="en-US"/>
        </w:rPr>
      </w:pPr>
    </w:p>
    <w:p w:rsidR="00743AC3" w:rsidRDefault="009B4069" w:rsidP="00395C7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743AC3" w:rsidRDefault="00743AC3" w:rsidP="00395C74">
      <w:pPr>
        <w:spacing w:after="0" w:line="240" w:lineRule="auto"/>
        <w:rPr>
          <w:lang w:val="en-US"/>
        </w:rPr>
      </w:pPr>
    </w:p>
    <w:p w:rsidR="009B4069" w:rsidRDefault="002320C4" w:rsidP="00395C7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5940425" cy="3669465"/>
            <wp:effectExtent l="0" t="0" r="22225" b="2667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ural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infosoft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vasmedia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beacon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test</w:t>
      </w:r>
      <w:proofErr w:type="gramEnd"/>
    </w:p>
    <w:p w:rsidR="003F3AA1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navigator</w:t>
      </w:r>
      <w:proofErr w:type="gramEnd"/>
    </w:p>
    <w:p w:rsidR="0099130A" w:rsidRPr="00395C74" w:rsidRDefault="0099130A" w:rsidP="009B4069">
      <w:pPr>
        <w:pStyle w:val="1"/>
        <w:rPr>
          <w:lang w:val="en-US"/>
        </w:rPr>
      </w:pPr>
      <w:r>
        <w:t>Суточное</w:t>
      </w:r>
      <w:r w:rsidRPr="00395C74">
        <w:rPr>
          <w:lang w:val="en-US"/>
        </w:rPr>
        <w:t xml:space="preserve"> </w:t>
      </w:r>
      <w:r>
        <w:t>распределение</w:t>
      </w:r>
      <w:r w:rsidRPr="00395C74">
        <w:rPr>
          <w:lang w:val="en-US"/>
        </w:rPr>
        <w:t xml:space="preserve"> </w:t>
      </w:r>
      <w:r>
        <w:t>нагрузки</w:t>
      </w:r>
    </w:p>
    <w:p w:rsidR="009B4069" w:rsidRPr="00395C74" w:rsidRDefault="009B4069" w:rsidP="009B4069">
      <w:pPr>
        <w:rPr>
          <w:lang w:val="en-US"/>
        </w:rPr>
      </w:pPr>
    </w:p>
    <w:p w:rsidR="00275433" w:rsidRDefault="004D309B" w:rsidP="00275433">
      <w:pPr>
        <w:ind w:hanging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797D8" wp14:editId="0D58EC33">
            <wp:extent cx="6343650" cy="253365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43AC3" w:rsidRDefault="00743AC3" w:rsidP="00275433">
      <w:pPr>
        <w:ind w:hanging="851"/>
        <w:rPr>
          <w:lang w:val="en-US"/>
        </w:rPr>
      </w:pPr>
    </w:p>
    <w:p w:rsidR="00743AC3" w:rsidRDefault="00743AC3" w:rsidP="00275433">
      <w:pPr>
        <w:ind w:hanging="851"/>
        <w:rPr>
          <w:lang w:val="en-US"/>
        </w:rPr>
      </w:pPr>
    </w:p>
    <w:tbl>
      <w:tblPr>
        <w:tblStyle w:val="aa"/>
        <w:tblW w:w="0" w:type="auto"/>
        <w:tblInd w:w="-176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99130A" w:rsidTr="0099130A">
        <w:tc>
          <w:tcPr>
            <w:tcW w:w="4785" w:type="dxa"/>
          </w:tcPr>
          <w:p w:rsidR="0099130A" w:rsidRPr="0099130A" w:rsidRDefault="0099130A" w:rsidP="00275433">
            <w:r>
              <w:t>Параметр</w:t>
            </w:r>
          </w:p>
        </w:tc>
        <w:tc>
          <w:tcPr>
            <w:tcW w:w="1595" w:type="dxa"/>
          </w:tcPr>
          <w:p w:rsidR="0099130A" w:rsidRPr="0099130A" w:rsidRDefault="0099130A" w:rsidP="00275433">
            <w:r>
              <w:t>Значение</w:t>
            </w:r>
          </w:p>
        </w:tc>
      </w:tr>
      <w:tr w:rsidR="0099130A" w:rsidTr="0099130A">
        <w:tc>
          <w:tcPr>
            <w:tcW w:w="4785" w:type="dxa"/>
          </w:tcPr>
          <w:p w:rsidR="0099130A" w:rsidRPr="0099130A" w:rsidRDefault="0099130A" w:rsidP="00275433">
            <w:pPr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99130A" w:rsidRDefault="0099130A" w:rsidP="00275433">
            <w:pPr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99130A" w:rsidTr="0099130A">
        <w:tc>
          <w:tcPr>
            <w:tcW w:w="4785" w:type="dxa"/>
          </w:tcPr>
          <w:p w:rsidR="0099130A" w:rsidRPr="0099130A" w:rsidRDefault="0099130A" w:rsidP="00275433">
            <w:pPr>
              <w:rPr>
                <w:lang w:val="en-US"/>
              </w:rPr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99130A" w:rsidRDefault="0099130A" w:rsidP="00275433">
            <w:pPr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9B4069" w:rsidRDefault="009B4069" w:rsidP="00275433">
      <w:pPr>
        <w:ind w:hanging="851"/>
      </w:pPr>
    </w:p>
    <w:p w:rsidR="0099130A" w:rsidRDefault="009B4069" w:rsidP="00275433">
      <w:pPr>
        <w:ind w:hanging="851"/>
      </w:pPr>
      <w:r>
        <w:rPr>
          <w:noProof/>
          <w:lang w:eastAsia="ru-RU"/>
        </w:rPr>
        <w:drawing>
          <wp:inline distT="0" distB="0" distL="0" distR="0" wp14:anchorId="276A12E2" wp14:editId="2B631DFA">
            <wp:extent cx="6391275" cy="28860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4450" w:rsidRDefault="00F34450" w:rsidP="00275433">
      <w:pPr>
        <w:ind w:hanging="851"/>
      </w:pPr>
    </w:p>
    <w:p w:rsidR="00F34450" w:rsidRDefault="00F34450">
      <w:r>
        <w:br w:type="page"/>
      </w:r>
    </w:p>
    <w:p w:rsidR="00743AC3" w:rsidRDefault="00743AC3" w:rsidP="00F34450">
      <w:pPr>
        <w:pStyle w:val="2"/>
        <w:rPr>
          <w:lang w:val="en-US"/>
        </w:rPr>
      </w:pPr>
    </w:p>
    <w:p w:rsidR="00F34450" w:rsidRDefault="00F34450" w:rsidP="00F34450">
      <w:pPr>
        <w:pStyle w:val="2"/>
      </w:pPr>
      <w:r>
        <w:t>Качество работы сервиса</w:t>
      </w:r>
    </w:p>
    <w:p w:rsidR="00F34450" w:rsidRDefault="00F34450" w:rsidP="00F34450"/>
    <w:p w:rsidR="00F34450" w:rsidRDefault="00F34450" w:rsidP="003F3AA1">
      <w:pPr>
        <w:ind w:left="-851"/>
      </w:pPr>
      <w:r>
        <w:rPr>
          <w:noProof/>
          <w:lang w:eastAsia="ru-RU"/>
        </w:rPr>
        <w:drawing>
          <wp:inline distT="0" distB="0" distL="0" distR="0" wp14:anchorId="1481CA4D" wp14:editId="523AB494">
            <wp:extent cx="6343650" cy="295275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4450" w:rsidRDefault="00F34450" w:rsidP="00F34450">
      <w:pPr>
        <w:rPr>
          <w:rFonts w:ascii="Calibri" w:eastAsia="Times New Roman" w:hAnsi="Calibri" w:cs="Calibri"/>
          <w:color w:val="000000"/>
          <w:lang w:eastAsia="ru-RU"/>
        </w:rPr>
      </w:pPr>
      <w:r>
        <w:t>Мес</w:t>
      </w:r>
      <w:r w:rsidR="00E378C7">
        <w:t>тоположение успешно определено для</w:t>
      </w:r>
      <w:r>
        <w:t xml:space="preserve"> </w:t>
      </w:r>
      <w:r w:rsidR="00042A8E"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%</w:t>
      </w:r>
      <w:r w:rsidR="00E378C7"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E378C7" w:rsidRDefault="00E378C7" w:rsidP="00F34450">
      <w:pPr>
        <w:rPr>
          <w:rFonts w:ascii="Calibri" w:eastAsia="Times New Roman" w:hAnsi="Calibri" w:cs="Calibri"/>
          <w:color w:val="000000"/>
          <w:lang w:eastAsia="ru-RU"/>
        </w:rPr>
      </w:pPr>
    </w:p>
    <w:p w:rsidR="002B68FF" w:rsidRDefault="002B68F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:rsidR="00E378C7" w:rsidRDefault="00E378C7" w:rsidP="00F34450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743AC3" w:rsidRPr="00743AC3" w:rsidRDefault="00743AC3" w:rsidP="00F34450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F34450" w:rsidRDefault="00A30AAC" w:rsidP="00F34450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2E6BFB" wp14:editId="5CF14A55">
            <wp:extent cx="5943600" cy="394335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34450" w:rsidRPr="00F34450" w:rsidRDefault="00F34450" w:rsidP="00F34450">
      <w:pPr>
        <w:rPr>
          <w:rFonts w:ascii="Calibri" w:eastAsia="Times New Roman" w:hAnsi="Calibri" w:cs="Calibri"/>
          <w:color w:val="000000"/>
          <w:lang w:eastAsia="ru-RU"/>
        </w:rPr>
      </w:pP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мобильного терминала: </w:t>
      </w:r>
    </w:p>
    <w:p w:rsidR="002B68FF" w:rsidRDefault="002B68FF" w:rsidP="002B68FF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Сервис не доступен для мобильного терминала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Абонент не зарегистрирован в сети: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Абонент не зарегистрирован в HLR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настройки платформы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m.LBS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Не корректно сконфигурирован список базовых станций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интеграции платформы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m.LBS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Определение местоположения прошло успешно, но превысило таймаут ожидания ответа.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сети: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Прочие ошибки.</w:t>
      </w:r>
    </w:p>
    <w:p w:rsidR="00F34450" w:rsidRDefault="00F34450" w:rsidP="00F34450"/>
    <w:p w:rsidR="002E2781" w:rsidRDefault="002E2781" w:rsidP="00F34450"/>
    <w:p w:rsidR="002B68FF" w:rsidRDefault="002B68FF" w:rsidP="00F34450"/>
    <w:p w:rsidR="002B68FF" w:rsidRDefault="002B68FF">
      <w:r>
        <w:br w:type="page"/>
      </w:r>
    </w:p>
    <w:p w:rsidR="002B68FF" w:rsidRPr="002B68FF" w:rsidRDefault="002B68FF" w:rsidP="002B68FF">
      <w:pPr>
        <w:pStyle w:val="2"/>
      </w:pPr>
      <w:r w:rsidRPr="002B68FF">
        <w:lastRenderedPageBreak/>
        <w:t>Активность регионов</w:t>
      </w:r>
    </w:p>
    <w:p w:rsidR="002B68FF" w:rsidRDefault="002B68FF" w:rsidP="00F34450"/>
    <w:p w:rsidR="002E2781" w:rsidRDefault="002B68FF" w:rsidP="00F34450">
      <w:r>
        <w:rPr>
          <w:noProof/>
          <w:lang w:eastAsia="ru-RU"/>
        </w:rPr>
        <w:drawing>
          <wp:inline distT="0" distB="0" distL="0" distR="0" wp14:anchorId="2FBD8A07" wp14:editId="1564FEA5">
            <wp:extent cx="5940425" cy="3858916"/>
            <wp:effectExtent l="0" t="0" r="22225" b="2730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B68FF" w:rsidRPr="00780B11" w:rsidRDefault="00780B11" w:rsidP="00F34450">
      <w:r>
        <w:t xml:space="preserve">Количество запросов в сутки к платформе </w:t>
      </w:r>
      <w:r>
        <w:rPr>
          <w:lang w:val="en-US"/>
        </w:rPr>
        <w:t>m</w:t>
      </w:r>
      <w:r w:rsidRPr="00780B11">
        <w:t>.</w:t>
      </w:r>
      <w:r>
        <w:rPr>
          <w:lang w:val="en-US"/>
        </w:rPr>
        <w:t>LBS</w:t>
      </w:r>
    </w:p>
    <w:p w:rsidR="002B68FF" w:rsidRDefault="002B68FF" w:rsidP="00F34450"/>
    <w:p w:rsidR="002B68FF" w:rsidRDefault="002B68FF" w:rsidP="00F34450"/>
    <w:p w:rsidR="002B68FF" w:rsidRPr="00F34450" w:rsidRDefault="002B68FF" w:rsidP="00F34450"/>
    <w:sectPr w:rsidR="002B68FF" w:rsidRPr="00F34450" w:rsidSect="00743AC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8B" w:rsidRDefault="0028498B" w:rsidP="004C5A97">
      <w:pPr>
        <w:spacing w:after="0" w:line="240" w:lineRule="auto"/>
      </w:pPr>
      <w:r>
        <w:separator/>
      </w:r>
    </w:p>
  </w:endnote>
  <w:endnote w:type="continuationSeparator" w:id="0">
    <w:p w:rsidR="0028498B" w:rsidRDefault="0028498B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32B88" w:rsidRPr="00532B88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32B88" w:rsidRPr="00532B88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8B" w:rsidRDefault="0028498B" w:rsidP="004C5A97">
      <w:pPr>
        <w:spacing w:after="0" w:line="240" w:lineRule="auto"/>
      </w:pPr>
      <w:r>
        <w:separator/>
      </w:r>
    </w:p>
  </w:footnote>
  <w:footnote w:type="continuationSeparator" w:id="0">
    <w:p w:rsidR="0028498B" w:rsidRDefault="0028498B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3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9951DB">
      <w:trPr>
        <w:trHeight w:val="615"/>
      </w:trPr>
      <w:tc>
        <w:tcPr>
          <w:tcW w:w="8457" w:type="dxa"/>
        </w:tcPr>
        <w:p w:rsidR="00743AC3" w:rsidRPr="00743AC3" w:rsidRDefault="00743AC3" w:rsidP="00743AC3">
          <w:pPr>
            <w:pStyle w:val="a6"/>
            <w:tabs>
              <w:tab w:val="left" w:pos="210"/>
              <w:tab w:val="right" w:pos="8161"/>
            </w:tabs>
            <w:rPr>
              <w:rFonts w:ascii="Bauhaus 93" w:eastAsiaTheme="majorEastAsia" w:hAnsi="Bauhaus 93" w:cstheme="majorBidi"/>
              <w:sz w:val="36"/>
              <w:szCs w:val="36"/>
            </w:rPr>
          </w:pPr>
          <w:proofErr w:type="spellStart"/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proofErr w:type="spellEnd"/>
        </w:p>
        <w:p w:rsidR="00743AC3" w:rsidRPr="00743AC3" w:rsidRDefault="00743AC3" w:rsidP="00743AC3">
          <w:pPr>
            <w:pStyle w:val="a6"/>
            <w:tabs>
              <w:tab w:val="left" w:pos="210"/>
              <w:tab w:val="right" w:pos="8161"/>
            </w:tabs>
            <w:rPr>
              <w:rFonts w:ascii="Bauhaus 93" w:eastAsiaTheme="majorEastAsia" w:hAnsi="Bauhaus 93" w:cstheme="majorBidi"/>
              <w:sz w:val="24"/>
              <w:szCs w:val="24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Ежемесячный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203" w:type="dxa"/>
            </w:tcPr>
            <w:p w:rsidR="009951DB" w:rsidRDefault="00743AC3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Август 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AC3" w:rsidRPr="00743AC3" w:rsidRDefault="00743AC3" w:rsidP="00743AC3">
    <w:pPr>
      <w:pStyle w:val="a6"/>
      <w:tabs>
        <w:tab w:val="left" w:pos="210"/>
        <w:tab w:val="right" w:pos="8161"/>
      </w:tabs>
      <w:rPr>
        <w:rFonts w:ascii="Bauhaus 93" w:eastAsiaTheme="majorEastAsia" w:hAnsi="Bauhaus 93" w:cstheme="majorBidi"/>
        <w:sz w:val="36"/>
        <w:szCs w:val="36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</w:p>
  <w:p w:rsidR="00743AC3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24"/>
        <w:szCs w:val="24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от компании </w:t>
    </w:r>
    <w:proofErr w:type="spellStart"/>
    <w:r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360DA"/>
    <w:rsid w:val="002320C4"/>
    <w:rsid w:val="00275433"/>
    <w:rsid w:val="00281F87"/>
    <w:rsid w:val="0028498B"/>
    <w:rsid w:val="002B68FF"/>
    <w:rsid w:val="002E2781"/>
    <w:rsid w:val="00395C74"/>
    <w:rsid w:val="003F3AA1"/>
    <w:rsid w:val="004C5A97"/>
    <w:rsid w:val="004D309B"/>
    <w:rsid w:val="00513D03"/>
    <w:rsid w:val="00532B88"/>
    <w:rsid w:val="00743AC3"/>
    <w:rsid w:val="00780B11"/>
    <w:rsid w:val="007E1169"/>
    <w:rsid w:val="009041DA"/>
    <w:rsid w:val="0099130A"/>
    <w:rsid w:val="009951DB"/>
    <w:rsid w:val="009B4069"/>
    <w:rsid w:val="00A30AAC"/>
    <w:rsid w:val="00AC247D"/>
    <w:rsid w:val="00B65650"/>
    <w:rsid w:val="00BA56C0"/>
    <w:rsid w:val="00C331A6"/>
    <w:rsid w:val="00C63A09"/>
    <w:rsid w:val="00CA200C"/>
    <w:rsid w:val="00CB4119"/>
    <w:rsid w:val="00CB60A1"/>
    <w:rsid w:val="00D12916"/>
    <w:rsid w:val="00E378C7"/>
    <w:rsid w:val="00E414EC"/>
    <w:rsid w:val="00E537C3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ifid\Desktop\m.cid_report\&#1050;&#1085;&#1080;&#1075;&#1072;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6059904"/>
        <c:axId val="176061440"/>
      </c:barChart>
      <c:catAx>
        <c:axId val="176059904"/>
        <c:scaling>
          <c:orientation val="minMax"/>
        </c:scaling>
        <c:delete val="0"/>
        <c:axPos val="l"/>
        <c:majorTickMark val="none"/>
        <c:minorTickMark val="none"/>
        <c:tickLblPos val="nextTo"/>
        <c:crossAx val="176061440"/>
        <c:crosses val="autoZero"/>
        <c:auto val="1"/>
        <c:lblAlgn val="ctr"/>
        <c:lblOffset val="100"/>
        <c:noMultiLvlLbl val="0"/>
      </c:catAx>
      <c:valAx>
        <c:axId val="17606144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76059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1.3149999999999999</c:v>
                </c:pt>
                <c:pt idx="1">
                  <c:v>2.5979999999999999</c:v>
                </c:pt>
                <c:pt idx="2">
                  <c:v>39.937999999999995</c:v>
                </c:pt>
                <c:pt idx="3">
                  <c:v>64.216000000000008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1.3320000000000001</c:v>
                </c:pt>
                <c:pt idx="1">
                  <c:v>3.528</c:v>
                </c:pt>
                <c:pt idx="2">
                  <c:v>55.131</c:v>
                </c:pt>
                <c:pt idx="3">
                  <c:v>62.637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6444928"/>
        <c:axId val="176446464"/>
      </c:barChart>
      <c:catAx>
        <c:axId val="176444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76446464"/>
        <c:crosses val="autoZero"/>
        <c:auto val="1"/>
        <c:lblAlgn val="ctr"/>
        <c:lblOffset val="100"/>
        <c:noMultiLvlLbl val="0"/>
      </c:catAx>
      <c:valAx>
        <c:axId val="17644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4449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455040"/>
        <c:axId val="176456832"/>
      </c:lineChart>
      <c:catAx>
        <c:axId val="176455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6456832"/>
        <c:crosses val="autoZero"/>
        <c:auto val="1"/>
        <c:lblAlgn val="ctr"/>
        <c:lblOffset val="100"/>
        <c:noMultiLvlLbl val="0"/>
      </c:catAx>
      <c:valAx>
        <c:axId val="176456832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455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555904"/>
        <c:axId val="176557440"/>
      </c:lineChart>
      <c:catAx>
        <c:axId val="17655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6557440"/>
        <c:crosses val="autoZero"/>
        <c:auto val="1"/>
        <c:lblAlgn val="ctr"/>
        <c:lblOffset val="100"/>
        <c:noMultiLvlLbl val="0"/>
      </c:catAx>
      <c:valAx>
        <c:axId val="176557440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crossAx val="1765559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76573824"/>
        <c:axId val="176579712"/>
      </c:barChart>
      <c:catAx>
        <c:axId val="17657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6579712"/>
        <c:crosses val="autoZero"/>
        <c:auto val="1"/>
        <c:lblAlgn val="ctr"/>
        <c:lblOffset val="100"/>
        <c:noMultiLvlLbl val="0"/>
      </c:catAx>
      <c:valAx>
        <c:axId val="176579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765738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chemeClr val="accent2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6614016"/>
        <c:axId val="176612480"/>
      </c:barChart>
      <c:valAx>
        <c:axId val="17661248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614016"/>
        <c:crosses val="autoZero"/>
        <c:crossBetween val="between"/>
      </c:valAx>
      <c:catAx>
        <c:axId val="176614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612480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000000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7E1C92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4D305-191E-4264-BD8D-961384B0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118</Words>
  <Characters>891</Characters>
  <Application>Microsoft Office Word</Application>
  <DocSecurity>0</DocSecurity>
  <Lines>81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trifid</cp:lastModifiedBy>
  <cp:revision>4</cp:revision>
  <dcterms:created xsi:type="dcterms:W3CDTF">2015-08-01T05:51:00Z</dcterms:created>
  <dcterms:modified xsi:type="dcterms:W3CDTF">2015-08-01T16:37:00Z</dcterms:modified>
</cp:coreProperties>
</file>