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0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1796" w:rsidTr="001C1796">
        <w:tc>
          <w:tcPr>
            <w:tcW w:w="4785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Вендор</w:t>
            </w: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83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1C1796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06727" w:history="1">
            <w:r w:rsidR="001C1796" w:rsidRPr="00886716">
              <w:rPr>
                <w:rStyle w:val="af"/>
                <w:noProof/>
              </w:rPr>
              <w:t>Качественные показатели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8" w:history="1">
            <w:r w:rsidR="001C1796" w:rsidRPr="00886716">
              <w:rPr>
                <w:rStyle w:val="af"/>
                <w:noProof/>
              </w:rPr>
              <w:t>Качество работы платформы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9" w:history="1">
            <w:r w:rsidR="001C1796" w:rsidRPr="00886716">
              <w:rPr>
                <w:rStyle w:val="af"/>
                <w:noProof/>
              </w:rPr>
              <w:t>Качество работы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0" w:history="1">
            <w:r w:rsidR="001C1796" w:rsidRPr="00886716">
              <w:rPr>
                <w:rStyle w:val="af"/>
                <w:noProof/>
              </w:rPr>
              <w:t>Количественные показатели работы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1" w:history="1">
            <w:r w:rsidR="001C1796" w:rsidRPr="00886716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="001C1796" w:rsidRPr="00886716">
              <w:rPr>
                <w:rStyle w:val="af"/>
                <w:noProof/>
                <w:lang w:val="en-US"/>
              </w:rPr>
              <w:t>rps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2" w:history="1">
            <w:r w:rsidR="001C1796" w:rsidRPr="00886716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_Toc426406732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3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3" w:history="1">
            <w:r w:rsidR="001C1796" w:rsidRPr="00886716">
              <w:rPr>
                <w:rStyle w:val="af"/>
                <w:noProof/>
              </w:rPr>
              <w:t>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_Toc426406733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4" w:history="1">
            <w:r w:rsidR="001C1796" w:rsidRPr="00886716">
              <w:rPr>
                <w:rStyle w:val="af"/>
                <w:noProof/>
              </w:rPr>
              <w:t>Основные потребители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_Toc426406734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5" w:history="1">
            <w:r w:rsidR="001C1796" w:rsidRPr="00886716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_Toc426406735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4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6" w:history="1">
            <w:r w:rsidR="001C1796" w:rsidRPr="00886716">
              <w:rPr>
                <w:rStyle w:val="af"/>
                <w:noProof/>
              </w:rPr>
              <w:t>Активность регионов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_Toc426406736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7" w:history="1">
            <w:r w:rsidR="001C1796" w:rsidRPr="00886716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8" w:history="1">
            <w:r w:rsidR="001C1796" w:rsidRPr="00886716">
              <w:rPr>
                <w:rStyle w:val="af"/>
                <w:noProof/>
              </w:rPr>
              <w:t>Качество реализации сервиса в регионах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_Toc426406738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5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9" w:history="1">
            <w:r w:rsidR="001C1796" w:rsidRPr="00886716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_Toc426406739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0" w:history="1">
            <w:r w:rsidR="001C1796" w:rsidRPr="00886716">
              <w:rPr>
                <w:rStyle w:val="af"/>
                <w:noProof/>
              </w:rPr>
              <w:t xml:space="preserve">Среднее время ответа </w:t>
            </w:r>
            <w:r w:rsidR="001C1796" w:rsidRPr="00886716">
              <w:rPr>
                <w:rStyle w:val="af"/>
                <w:noProof/>
                <w:lang w:val="en-US"/>
              </w:rPr>
              <w:t>HLR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_Toc426406740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139C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1" w:history="1">
            <w:r w:rsidR="001C1796" w:rsidRPr="00886716">
              <w:rPr>
                <w:rStyle w:val="af"/>
                <w:noProof/>
              </w:rPr>
              <w:t xml:space="preserve">Среднее время ответов </w:t>
            </w:r>
            <w:r w:rsidR="001C1796" w:rsidRPr="00886716">
              <w:rPr>
                <w:rStyle w:val="af"/>
                <w:noProof/>
                <w:lang w:val="en-US"/>
              </w:rPr>
              <w:t>VLR</w:t>
            </w:r>
            <w:r w:rsidR="001C1796" w:rsidRPr="00886716">
              <w:rPr>
                <w:rStyle w:val="af"/>
                <w:noProof/>
              </w:rPr>
              <w:t xml:space="preserve"> по регионам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_Toc426406741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6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3A43" w:rsidRDefault="00DA3A43" w:rsidP="00DF5B3F">
      <w:pPr>
        <w:pStyle w:val="2"/>
        <w:ind w:left="-709"/>
      </w:pPr>
      <w:bookmarkStart w:id="0" w:name="_Toc426406727"/>
      <w:r>
        <w:lastRenderedPageBreak/>
        <w:t>Качественные показатели сервиса</w:t>
      </w:r>
      <w:bookmarkEnd w:id="0"/>
    </w:p>
    <w:p w:rsidR="00812FF1" w:rsidRDefault="00812FF1" w:rsidP="00DA3A43">
      <w:pPr>
        <w:pStyle w:val="3"/>
        <w:ind w:left="-709"/>
      </w:pPr>
      <w:bookmarkStart w:id="1" w:name="_Toc426406728"/>
      <w:r>
        <w:t>Качество работы платформы</w:t>
      </w:r>
      <w:bookmarkEnd w:id="1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2" w:name="_Toc426406729"/>
      <w:r>
        <w:t>Качество работы сервиса</w:t>
      </w:r>
      <w:bookmarkEnd w:id="2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3" w:name="_Toc426406730"/>
      <w:r>
        <w:lastRenderedPageBreak/>
        <w:t>Количественные показатели работы</w:t>
      </w:r>
      <w:bookmarkEnd w:id="3"/>
    </w:p>
    <w:p w:rsidR="00DF5B3F" w:rsidRPr="00ED2704" w:rsidRDefault="00DF5B3F" w:rsidP="00DA3A43">
      <w:pPr>
        <w:pStyle w:val="3"/>
        <w:ind w:left="-709"/>
      </w:pPr>
      <w:bookmarkStart w:id="4" w:name="_Toc426406731"/>
      <w:r>
        <w:t>Усредненное по часу суточное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 xml:space="preserve">нагрузки, </w:t>
      </w:r>
      <w:r>
        <w:rPr>
          <w:lang w:val="en-US"/>
        </w:rPr>
        <w:t>rps</w:t>
      </w:r>
      <w:bookmarkEnd w:id="4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5" w:name="_Toc426406732"/>
      <w:r>
        <w:t>Максимальные значения нагрузки в течение суток относительно лицензионной ёмкости</w:t>
      </w:r>
      <w:bookmarkEnd w:id="5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r>
              <w:rPr>
                <w:lang w:val="en-US"/>
              </w:rPr>
              <w:t>rps</w:t>
            </w:r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Среднесуточная нагрузка, </w:t>
            </w:r>
            <w:r>
              <w:rPr>
                <w:lang w:val="en-US"/>
              </w:rPr>
              <w:t>rps</w:t>
            </w:r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6" w:name="_Toc426406733"/>
      <w:r>
        <w:lastRenderedPageBreak/>
        <w:t>П</w:t>
      </w:r>
      <w:r w:rsidR="009B4069">
        <w:t>отребители сервиса</w:t>
      </w:r>
      <w:bookmarkEnd w:id="6"/>
    </w:p>
    <w:p w:rsidR="00CA200C" w:rsidRPr="00ED2704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7" w:name="_Toc426406734"/>
      <w:r>
        <w:t>Основные потребители сервиса</w:t>
      </w:r>
      <w:bookmarkEnd w:id="7"/>
    </w:p>
    <w:p w:rsidR="00031377" w:rsidRPr="00ED2704" w:rsidRDefault="00275433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1796" w:rsidRDefault="001C1796" w:rsidP="001C1796">
      <w:pPr>
        <w:pStyle w:val="3"/>
        <w:ind w:left="-709"/>
      </w:pPr>
    </w:p>
    <w:p w:rsidR="002B68FF" w:rsidRPr="002B68FF" w:rsidRDefault="002B68FF" w:rsidP="001C1796">
      <w:pPr>
        <w:pStyle w:val="2"/>
        <w:ind w:left="-709"/>
      </w:pPr>
      <w:bookmarkStart w:id="8" w:name="_Toc426406736"/>
      <w:r w:rsidRPr="002B68FF">
        <w:t>Активность регионов</w:t>
      </w:r>
      <w:bookmarkEnd w:id="8"/>
    </w:p>
    <w:p w:rsidR="002B68FF" w:rsidRDefault="00DA3A43" w:rsidP="001C1796">
      <w:pPr>
        <w:pStyle w:val="3"/>
        <w:ind w:left="-709"/>
      </w:pPr>
      <w:bookmarkStart w:id="9" w:name="_Toc426406737"/>
      <w:r>
        <w:t>Количество запросов в сутки, по регионам принадлежности абонентов</w:t>
      </w:r>
      <w:bookmarkEnd w:id="9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80018" cy="3858895"/>
            <wp:effectExtent l="0" t="0" r="190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0" w:name="_Toc426406738"/>
      <w:r>
        <w:lastRenderedPageBreak/>
        <w:t>Качество реализации сервиса в регионах</w:t>
      </w:r>
      <w:bookmarkEnd w:id="10"/>
    </w:p>
    <w:p w:rsidR="002B68FF" w:rsidRDefault="00B96532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1A0C5AA0" wp14:editId="0523A4C4">
            <wp:extent cx="6421582" cy="4045527"/>
            <wp:effectExtent l="0" t="0" r="17780" b="127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Default="00DA3A43" w:rsidP="001C1796">
      <w:pPr>
        <w:pStyle w:val="2"/>
        <w:ind w:left="-709"/>
      </w:pPr>
      <w:bookmarkStart w:id="11" w:name="_Toc426406739"/>
      <w:r>
        <w:t>Качественные показатели взаимодействия с оборудованием</w:t>
      </w:r>
      <w:bookmarkEnd w:id="11"/>
    </w:p>
    <w:p w:rsidR="00865E4C" w:rsidRPr="00865E4C" w:rsidRDefault="00865E4C" w:rsidP="001C1796">
      <w:pPr>
        <w:pStyle w:val="3"/>
        <w:ind w:left="-709"/>
      </w:pPr>
      <w:bookmarkStart w:id="12" w:name="_Toc426406740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2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3" w:name="_Toc426406741"/>
      <w:r>
        <w:lastRenderedPageBreak/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3"/>
    </w:p>
    <w:p w:rsidR="00865E4C" w:rsidRDefault="00865E4C" w:rsidP="001C1796">
      <w:pPr>
        <w:ind w:left="-709"/>
      </w:pPr>
    </w:p>
    <w:p w:rsidR="00C52142" w:rsidRPr="00ED2704" w:rsidRDefault="00C52142" w:rsidP="00C52142">
      <w:pPr>
        <w:pStyle w:val="3"/>
        <w:ind w:left="-709"/>
      </w:pPr>
      <w:bookmarkStart w:id="14" w:name="_Toc426406735"/>
      <w:r>
        <w:t>Динамика объема потребления сервиса по основным потребителям</w:t>
      </w:r>
      <w:bookmarkEnd w:id="14"/>
    </w:p>
    <w:p w:rsidR="00C52142" w:rsidRDefault="00C52142" w:rsidP="00C52142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368116D0" wp14:editId="15BC8A4B">
            <wp:extent cx="5940425" cy="3460115"/>
            <wp:effectExtent l="0" t="0" r="3175" b="698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15" w:name="_GoBack"/>
      <w:bookmarkEnd w:id="15"/>
    </w:p>
    <w:p w:rsidR="00C52142" w:rsidRDefault="00C52142" w:rsidP="00C52142">
      <w:pPr>
        <w:spacing w:after="0" w:line="240" w:lineRule="auto"/>
        <w:ind w:left="-709"/>
      </w:pPr>
    </w:p>
    <w:p w:rsidR="00C52142" w:rsidRDefault="00C52142" w:rsidP="00C52142">
      <w:pPr>
        <w:pStyle w:val="3"/>
        <w:ind w:left="-709"/>
      </w:pPr>
      <w:r>
        <w:t xml:space="preserve">Динамика объема потребления сервиса по </w:t>
      </w:r>
      <w:r>
        <w:t>регионам</w:t>
      </w:r>
    </w:p>
    <w:p w:rsidR="00C52142" w:rsidRPr="00C52142" w:rsidRDefault="00C52142" w:rsidP="00C52142"/>
    <w:p w:rsidR="001C1796" w:rsidRPr="00865E4C" w:rsidRDefault="00C52142" w:rsidP="00C52142">
      <w:pPr>
        <w:ind w:hanging="709"/>
      </w:pPr>
      <w:r>
        <w:rPr>
          <w:noProof/>
          <w:lang w:eastAsia="ru-RU"/>
        </w:rPr>
        <w:drawing>
          <wp:inline distT="0" distB="0" distL="0" distR="0" wp14:anchorId="0BBA3BDE" wp14:editId="0DB4A05A">
            <wp:extent cx="6247181" cy="3061335"/>
            <wp:effectExtent l="0" t="0" r="1270" b="571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1C1796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9C0" w:rsidRDefault="001139C0" w:rsidP="004C5A97">
      <w:pPr>
        <w:spacing w:after="0" w:line="240" w:lineRule="auto"/>
      </w:pPr>
      <w:r>
        <w:separator/>
      </w:r>
    </w:p>
  </w:endnote>
  <w:endnote w:type="continuationSeparator" w:id="0">
    <w:p w:rsidR="001139C0" w:rsidRDefault="001139C0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C52142" w:rsidRPr="00C52142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C52142" w:rsidRPr="00C52142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9C0" w:rsidRDefault="001139C0" w:rsidP="004C5A97">
      <w:pPr>
        <w:spacing w:after="0" w:line="240" w:lineRule="auto"/>
      </w:pPr>
      <w:r>
        <w:separator/>
      </w:r>
    </w:p>
  </w:footnote>
  <w:footnote w:type="continuationSeparator" w:id="0">
    <w:p w:rsidR="001139C0" w:rsidRDefault="001139C0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eastAsiaTheme="majorEastAsia" w:cstheme="majorBidi"/>
              <w:sz w:val="36"/>
              <w:szCs w:val="36"/>
            </w:rPr>
          </w:pPr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r w:rsidR="001C1796">
            <w:rPr>
              <w:rFonts w:eastAsiaTheme="majorEastAsia" w:cstheme="majorBidi"/>
              <w:sz w:val="36"/>
              <w:szCs w:val="36"/>
            </w:rPr>
            <w:t xml:space="preserve"> </w:t>
          </w:r>
        </w:p>
        <w:p w:rsidR="00743AC3" w:rsidRP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A2239D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</w:rPr>
    </w:pPr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r w:rsidR="00ED2704" w:rsidRPr="00A2239D">
      <w:rPr>
        <w:rFonts w:eastAsiaTheme="majorEastAsia" w:cstheme="majorBidi"/>
        <w:sz w:val="32"/>
        <w:szCs w:val="32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631FFA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139C0"/>
    <w:rsid w:val="001360DA"/>
    <w:rsid w:val="001C1796"/>
    <w:rsid w:val="002320C4"/>
    <w:rsid w:val="00275433"/>
    <w:rsid w:val="00281F87"/>
    <w:rsid w:val="0028498B"/>
    <w:rsid w:val="002B68FF"/>
    <w:rsid w:val="002E2781"/>
    <w:rsid w:val="002F7DF2"/>
    <w:rsid w:val="00320CDD"/>
    <w:rsid w:val="00330565"/>
    <w:rsid w:val="00395C74"/>
    <w:rsid w:val="003F3AA1"/>
    <w:rsid w:val="004817FE"/>
    <w:rsid w:val="004C5A97"/>
    <w:rsid w:val="004D309B"/>
    <w:rsid w:val="00513D03"/>
    <w:rsid w:val="00532B88"/>
    <w:rsid w:val="005E0957"/>
    <w:rsid w:val="00743AC3"/>
    <w:rsid w:val="00780B11"/>
    <w:rsid w:val="007E1169"/>
    <w:rsid w:val="00812FF1"/>
    <w:rsid w:val="00865E4C"/>
    <w:rsid w:val="008C619D"/>
    <w:rsid w:val="008E7404"/>
    <w:rsid w:val="009041DA"/>
    <w:rsid w:val="0099130A"/>
    <w:rsid w:val="009951DB"/>
    <w:rsid w:val="009B4069"/>
    <w:rsid w:val="00A2239D"/>
    <w:rsid w:val="00A30AAC"/>
    <w:rsid w:val="00AA7F8D"/>
    <w:rsid w:val="00AC247D"/>
    <w:rsid w:val="00B65650"/>
    <w:rsid w:val="00B71FBF"/>
    <w:rsid w:val="00B96532"/>
    <w:rsid w:val="00BA56C0"/>
    <w:rsid w:val="00C331A6"/>
    <w:rsid w:val="00C52142"/>
    <w:rsid w:val="00C63A09"/>
    <w:rsid w:val="00CA200C"/>
    <w:rsid w:val="00CB4119"/>
    <w:rsid w:val="00CB60A1"/>
    <w:rsid w:val="00D12916"/>
    <w:rsid w:val="00DA3A43"/>
    <w:rsid w:val="00DF5B3F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ocal\callaider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ocal\callaider\callaider_demo\m.cid_report\&#1050;&#1085;&#1080;&#1075;&#1072;%20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ocal\callaider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ocal\callaider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ocal\callaider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ocal\callaider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local\callaider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ocal\callaider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ocal\callaider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ocal\callaider\callaider_demo\m.cid_report\&#1050;&#1085;&#1080;&#1075;&#1072;%20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rgbClr val="E4402A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'Динамика. регионы'!$A$2</c:f>
              <c:strCache>
                <c:ptCount val="1"/>
                <c:pt idx="0">
                  <c:v>Дальневосточный филиал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регионы'!$B$10:$D$10</c:f>
              <c:numCache>
                <c:formatCode>General</c:formatCode>
                <c:ptCount val="3"/>
                <c:pt idx="0">
                  <c:v>922709</c:v>
                </c:pt>
                <c:pt idx="1">
                  <c:v>1051888</c:v>
                </c:pt>
                <c:pt idx="2">
                  <c:v>1188633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'Динамика. регионы'!$A$3</c:f>
              <c:strCache>
                <c:ptCount val="1"/>
                <c:pt idx="0">
                  <c:v>Центральный филиал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регионы'!$B$11:$D$11</c:f>
              <c:numCache>
                <c:formatCode>General</c:formatCode>
                <c:ptCount val="3"/>
                <c:pt idx="0">
                  <c:v>946798</c:v>
                </c:pt>
                <c:pt idx="1">
                  <c:v>899458</c:v>
                </c:pt>
                <c:pt idx="2">
                  <c:v>962420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'Динамика. регионы'!$A$4</c:f>
              <c:strCache>
                <c:ptCount val="1"/>
                <c:pt idx="0">
                  <c:v>Сибирский филиал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регионы'!$B$12:$D$12</c:f>
              <c:numCache>
                <c:formatCode>General</c:formatCode>
                <c:ptCount val="3"/>
                <c:pt idx="0">
                  <c:v>3587386</c:v>
                </c:pt>
                <c:pt idx="1">
                  <c:v>3192774</c:v>
                </c:pt>
                <c:pt idx="2">
                  <c:v>2490364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'Динамика. регионы'!$A$5</c:f>
              <c:strCache>
                <c:ptCount val="1"/>
                <c:pt idx="0">
                  <c:v>Северо-Западный филиал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регионы'!$B$13:$D$13</c:f>
              <c:numCache>
                <c:formatCode>General</c:formatCode>
                <c:ptCount val="3"/>
                <c:pt idx="0">
                  <c:v>3143108</c:v>
                </c:pt>
                <c:pt idx="1">
                  <c:v>2860228</c:v>
                </c:pt>
                <c:pt idx="2">
                  <c:v>3518080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'Динамика. регионы'!$A$6</c:f>
              <c:strCache>
                <c:ptCount val="1"/>
                <c:pt idx="0">
                  <c:v>Поволжский филиал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регионы'!$B$14:$D$14</c:f>
              <c:numCache>
                <c:formatCode>General</c:formatCode>
                <c:ptCount val="3"/>
                <c:pt idx="0">
                  <c:v>3351814</c:v>
                </c:pt>
                <c:pt idx="1">
                  <c:v>2983114</c:v>
                </c:pt>
                <c:pt idx="2">
                  <c:v>2654971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'Динамика. регионы'!$A$7</c:f>
              <c:strCache>
                <c:ptCount val="1"/>
                <c:pt idx="0">
                  <c:v>Кавказский филиал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регионы'!$B$15:$D$15</c:f>
              <c:numCache>
                <c:formatCode>General</c:formatCode>
                <c:ptCount val="3"/>
                <c:pt idx="0">
                  <c:v>5149863</c:v>
                </c:pt>
                <c:pt idx="1">
                  <c:v>5458855</c:v>
                </c:pt>
                <c:pt idx="2">
                  <c:v>4694615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'Динамика. регионы'!$A$8</c:f>
              <c:strCache>
                <c:ptCount val="1"/>
                <c:pt idx="0">
                  <c:v>Столичный филиал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'Динамика. регионы'!$B$19:$D$19</c:f>
              <c:strCache>
                <c:ptCount val="3"/>
                <c:pt idx="0">
                  <c:v>июнь</c:v>
                </c:pt>
                <c:pt idx="1">
                  <c:v>июль</c:v>
                </c:pt>
                <c:pt idx="2">
                  <c:v>август</c:v>
                </c:pt>
              </c:strCache>
            </c:strRef>
          </c:cat>
          <c:val>
            <c:numRef>
              <c:f>'Динамика. регионы'!$B$16:$D$16</c:f>
              <c:numCache>
                <c:formatCode>General</c:formatCode>
                <c:ptCount val="3"/>
                <c:pt idx="0">
                  <c:v>5904829</c:v>
                </c:pt>
                <c:pt idx="1">
                  <c:v>6200070</c:v>
                </c:pt>
                <c:pt idx="2">
                  <c:v>7750088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258416"/>
        <c:axId val="446258808"/>
      </c:lineChart>
      <c:catAx>
        <c:axId val="44625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8808"/>
        <c:crosses val="autoZero"/>
        <c:auto val="1"/>
        <c:lblAlgn val="ctr"/>
        <c:lblOffset val="100"/>
        <c:noMultiLvlLbl val="0"/>
      </c:catAx>
      <c:valAx>
        <c:axId val="44625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8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440339728"/>
        <c:axId val="440340120"/>
      </c:barChart>
      <c:catAx>
        <c:axId val="44033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440340120"/>
        <c:crosses val="autoZero"/>
        <c:auto val="1"/>
        <c:lblAlgn val="ctr"/>
        <c:lblOffset val="100"/>
        <c:noMultiLvlLbl val="0"/>
      </c:catAx>
      <c:valAx>
        <c:axId val="4403401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440339728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338160"/>
        <c:axId val="440340512"/>
      </c:lineChart>
      <c:catAx>
        <c:axId val="440338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40340512"/>
        <c:crosses val="autoZero"/>
        <c:auto val="1"/>
        <c:lblAlgn val="ctr"/>
        <c:lblOffset val="100"/>
        <c:noMultiLvlLbl val="0"/>
      </c:catAx>
      <c:valAx>
        <c:axId val="440340512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0338160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spPr>
            <a:ln w="12700" cap="rnd" cmpd="sng" algn="ctr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spPr>
            <a:ln w="28575" cap="rnd" cmpd="sng" algn="ctr">
              <a:solidFill>
                <a:schemeClr val="tx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342080"/>
        <c:axId val="440342472"/>
      </c:lineChart>
      <c:catAx>
        <c:axId val="44034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342472"/>
        <c:crosses val="autoZero"/>
        <c:auto val="1"/>
        <c:lblAlgn val="ctr"/>
        <c:lblOffset val="100"/>
        <c:noMultiLvlLbl val="0"/>
      </c:catAx>
      <c:valAx>
        <c:axId val="440342472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3420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tint val="75000"/>
          <a:shade val="95000"/>
          <a:satMod val="10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0341296"/>
        <c:axId val="440340904"/>
      </c:barChart>
      <c:catAx>
        <c:axId val="440341296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440340904"/>
        <c:crosses val="autoZero"/>
        <c:auto val="1"/>
        <c:lblAlgn val="ctr"/>
        <c:lblOffset val="100"/>
        <c:noMultiLvlLbl val="0"/>
      </c:catAx>
      <c:valAx>
        <c:axId val="44034090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4403412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0343648"/>
        <c:axId val="440343256"/>
      </c:barChart>
      <c:valAx>
        <c:axId val="44034325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343648"/>
        <c:crosses val="autoZero"/>
        <c:crossBetween val="between"/>
      </c:valAx>
      <c:catAx>
        <c:axId val="440343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343256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numRef>
              <c:f>[1]Лист1!$A$2:$A$9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cat>
          <c:val>
            <c:numRef>
              <c:f>[1]Лист1!$E$2:$E$9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numRef>
              <c:f>[1]Лист1!$A$2:$A$9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cat>
          <c:val>
            <c:numRef>
              <c:f>[1]Лист1!$F$2:$F$9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v>% Успешно определены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6254888"/>
        <c:axId val="44625528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[1]Лист1!$B$2:$B$9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446254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5280"/>
        <c:crosses val="autoZero"/>
        <c:auto val="1"/>
        <c:lblAlgn val="ctr"/>
        <c:lblOffset val="100"/>
        <c:noMultiLvlLbl val="0"/>
      </c:catAx>
      <c:valAx>
        <c:axId val="44625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4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446256064"/>
        <c:axId val="446256456"/>
      </c:barChart>
      <c:catAx>
        <c:axId val="44625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6456"/>
        <c:crosses val="autoZero"/>
        <c:auto val="1"/>
        <c:lblAlgn val="ctr"/>
        <c:lblOffset val="100"/>
        <c:noMultiLvlLbl val="0"/>
      </c:catAx>
      <c:valAx>
        <c:axId val="446256456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1.1859999999999999</c:v>
                </c:pt>
                <c:pt idx="1">
                  <c:v>3.1999999999999997</c:v>
                </c:pt>
                <c:pt idx="2">
                  <c:v>30.387</c:v>
                </c:pt>
                <c:pt idx="3">
                  <c:v>59.478999999999999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1.33</c:v>
                </c:pt>
                <c:pt idx="1">
                  <c:v>2.9539999999999997</c:v>
                </c:pt>
                <c:pt idx="2">
                  <c:v>42.975999999999999</c:v>
                </c:pt>
                <c:pt idx="3">
                  <c:v>54.741999999999997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46257240"/>
        <c:axId val="446257632"/>
      </c:barChart>
      <c:catAx>
        <c:axId val="446257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6257632"/>
        <c:crosses val="autoZero"/>
        <c:auto val="1"/>
        <c:lblAlgn val="ctr"/>
        <c:lblOffset val="100"/>
        <c:noMultiLvlLbl val="0"/>
      </c:catAx>
      <c:valAx>
        <c:axId val="446257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6257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751972"/>
    <w:rsid w:val="007E1C92"/>
    <w:rsid w:val="0089785D"/>
    <w:rsid w:val="008D1645"/>
    <w:rsid w:val="00AB6A32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EDCE27-8862-4A4F-B641-60761DAD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trifid</cp:lastModifiedBy>
  <cp:revision>15</cp:revision>
  <dcterms:created xsi:type="dcterms:W3CDTF">2015-08-01T05:51:00Z</dcterms:created>
  <dcterms:modified xsi:type="dcterms:W3CDTF">2015-08-03T23:15:00Z</dcterms:modified>
</cp:coreProperties>
</file>