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VÂNZARE</w:t>
      </w:r>
    </w:p>
    <w:p>
      <w:pPr>
        <w:spacing w:after="160" w:line="360"/>
        <w:jc w:val="both"/>
      </w:pPr>
      <w:r>
        <w:rPr>
          <w:rFonts w:ascii="Times New Roman" w:cs="Times New Roman" w:eastAsia="Times New Roman" w:hAnsi="Times New Roman"/>
          <w:sz w:val="22"/>
          <w:szCs w:val="22"/>
        </w:rPr>
        <w:t xml:space="preserve">Astăzi, 14 octombrie 2026, în municipiul Cluj-Napoca, înaintea notarului public, s-au prezentat părțile de mai jos. Ele cer redactarea și, după verificarea condițiilor legale, autentificarea prezentului înscris.</w:t>
      </w:r>
    </w:p>
    <w:p>
      <w:pPr>
        <w:spacing w:after="160" w:line="360"/>
        <w:jc w:val="both"/>
      </w:pPr>
      <w:r>
        <w:rPr>
          <w:rFonts w:ascii="Times New Roman" w:cs="Times New Roman" w:eastAsia="Times New Roman" w:hAnsi="Times New Roman"/>
          <w:sz w:val="22"/>
          <w:szCs w:val="22"/>
        </w:rPr>
        <w:t xml:space="preserve">Vânzătorii: Mureșan Andrei și Mureșan Ioana, identificat/identificată cu C.I. seria CJ nr. 100003, CNP 1750314120012, domiciliat/domiciliată în Cluj-Napoca, strada Memorandumului nr 28, stare civilă: căsătorit.</w:t>
      </w:r>
    </w:p>
    <w:p>
      <w:pPr>
        <w:spacing w:after="160" w:line="360"/>
        <w:jc w:val="both"/>
      </w:pPr>
      <w:r>
        <w:rPr>
          <w:rFonts w:ascii="Times New Roman" w:cs="Times New Roman" w:eastAsia="Times New Roman" w:hAnsi="Times New Roman"/>
          <w:sz w:val="22"/>
          <w:szCs w:val="22"/>
        </w:rPr>
        <w:t xml:space="preserve">Cumpărătorii: Popescu Vlad și Popescu Dana, identificat/identificată cu C.I. seria CJ nr. 100004, CNP 1760418120138, domiciliat/domiciliată în Cluj-Napoca, strada Observatorului nr 6, stare civilă: căsătorit.</w:t>
      </w:r>
    </w:p>
    <w:p>
      <w:pPr>
        <w:spacing w:after="160" w:line="360"/>
        <w:jc w:val="both"/>
      </w:pPr>
      <w:r>
        <w:rPr>
          <w:rFonts w:ascii="Times New Roman" w:cs="Times New Roman" w:eastAsia="Times New Roman" w:hAnsi="Times New Roman"/>
          <w:b/>
          <w:bCs/>
          <w:sz w:val="22"/>
          <w:szCs w:val="22"/>
        </w:rPr>
        <w:t xml:space="preserve">Capitolul I — Obiectul</w:t>
      </w:r>
    </w:p>
    <w:p>
      <w:pPr>
        <w:spacing w:after="160" w:line="360"/>
        <w:jc w:val="both"/>
      </w:pPr>
      <w:r>
        <w:rPr>
          <w:rFonts w:ascii="Times New Roman" w:cs="Times New Roman" w:eastAsia="Times New Roman" w:hAnsi="Times New Roman"/>
          <w:sz w:val="22"/>
          <w:szCs w:val="22"/>
        </w:rPr>
        <w:t xml:space="preserve">Vânzătorii vând cumpărătorilor, care cumpără, imobilul: apartament cu două camere și dependințe, strada Memorandumului nr 28, ap 12, Cluj-Napoca.</w:t>
      </w:r>
    </w:p>
    <w:p>
      <w:pPr>
        <w:spacing w:after="160" w:line="360"/>
        <w:jc w:val="both"/>
      </w:pPr>
      <w:r>
        <w:rPr>
          <w:rFonts w:ascii="Times New Roman" w:cs="Times New Roman" w:eastAsia="Times New Roman" w:hAnsi="Times New Roman"/>
          <w:sz w:val="22"/>
          <w:szCs w:val="22"/>
        </w:rPr>
        <w:t xml:space="preserve">Imobilul este înscris în cartea funciară nr. 234567 a UAT Cluj-Napoca, județul Cluj, număr cadastral 23456-C1-U12, suprafață 52,40 mp.</w:t>
      </w:r>
    </w:p>
    <w:p>
      <w:pPr>
        <w:spacing w:after="160" w:line="360"/>
        <w:jc w:val="both"/>
      </w:pPr>
      <w:r>
        <w:rPr>
          <w:rFonts w:ascii="Times New Roman" w:cs="Times New Roman" w:eastAsia="Times New Roman" w:hAnsi="Times New Roman"/>
          <w:sz w:val="22"/>
          <w:szCs w:val="22"/>
        </w:rPr>
        <w:t xml:space="preserve">Vânzătorii declară că imobilul este bun comun, deținut în devălmășie sub regimul comunității legale, și că înstrăinarea se face de ambii soți.</w:t>
      </w:r>
    </w:p>
    <w:p>
      <w:pPr>
        <w:spacing w:after="160" w:line="360"/>
        <w:jc w:val="both"/>
      </w:pPr>
      <w:r>
        <w:rPr>
          <w:rFonts w:ascii="Times New Roman" w:cs="Times New Roman" w:eastAsia="Times New Roman" w:hAnsi="Times New Roman"/>
          <w:sz w:val="22"/>
          <w:szCs w:val="22"/>
        </w:rPr>
        <w:t xml:space="preserve">Identificarea din act se confruntă cu extrasul de carte funciară pentru autentificare, valabil la data semnării. Un extras expirat nu se folosește.</w:t>
      </w:r>
    </w:p>
    <w:p>
      <w:pPr>
        <w:spacing w:after="160" w:line="360"/>
        <w:jc w:val="both"/>
      </w:pPr>
      <w:r>
        <w:rPr>
          <w:rFonts w:ascii="Times New Roman" w:cs="Times New Roman" w:eastAsia="Times New Roman" w:hAnsi="Times New Roman"/>
          <w:sz w:val="22"/>
          <w:szCs w:val="22"/>
        </w:rPr>
        <w:t xml:space="preserve">Dacă imobilul este teren agricol extravilan, prezenta clauză se înlocuiește cu verificarea Legii nr. 17/2014. Proiectul nu presupune că terenul este în intravilan.</w:t>
      </w:r>
    </w:p>
    <w:p>
      <w:pPr>
        <w:spacing w:after="160" w:line="360"/>
        <w:jc w:val="both"/>
      </w:pPr>
      <w:r>
        <w:rPr>
          <w:rFonts w:ascii="Times New Roman" w:cs="Times New Roman" w:eastAsia="Times New Roman" w:hAnsi="Times New Roman"/>
          <w:b/>
          <w:bCs/>
          <w:sz w:val="22"/>
          <w:szCs w:val="22"/>
        </w:rPr>
        <w:t xml:space="preserve">Capitolul II — Prețul</w:t>
      </w:r>
    </w:p>
    <w:p>
      <w:pPr>
        <w:spacing w:after="160" w:line="360"/>
        <w:jc w:val="both"/>
      </w:pPr>
      <w:r>
        <w:rPr>
          <w:rFonts w:ascii="Times New Roman" w:cs="Times New Roman" w:eastAsia="Times New Roman" w:hAnsi="Times New Roman"/>
          <w:sz w:val="22"/>
          <w:szCs w:val="22"/>
        </w:rPr>
        <w:t xml:space="preserve">Prețul vânzării este de 180.000,00 lei (o sută optzeci de mii de lei).</w:t>
      </w:r>
    </w:p>
    <w:p>
      <w:pPr>
        <w:spacing w:after="160" w:line="360"/>
        <w:jc w:val="both"/>
      </w:pPr>
      <w:r>
        <w:rPr>
          <w:rFonts w:ascii="Times New Roman" w:cs="Times New Roman" w:eastAsia="Times New Roman" w:hAnsi="Times New Roman"/>
          <w:sz w:val="22"/>
          <w:szCs w:val="22"/>
        </w:rPr>
        <w:t xml:space="preserve">Prețul nu este achitat integral astăzi. Restul: 50000 lei, scadent la 14 aprilie 2027.</w:t>
      </w:r>
    </w:p>
    <w:p>
      <w:pPr>
        <w:spacing w:after="160" w:line="360"/>
        <w:jc w:val="both"/>
      </w:pPr>
      <w:r>
        <w:rPr>
          <w:rFonts w:ascii="Times New Roman" w:cs="Times New Roman" w:eastAsia="Times New Roman" w:hAnsi="Times New Roman"/>
          <w:sz w:val="22"/>
          <w:szCs w:val="22"/>
        </w:rPr>
        <w:t xml:space="preserve">Până la plata integrală, părțile convin expres dacă proprietatea se strămută de îndată, potrivit art. 1674, sau rămâne rezervată vânzătorului, potrivit art. 1684, cu îndeplinirea publicității.</w:t>
      </w:r>
    </w:p>
    <w:p>
      <w:pPr>
        <w:spacing w:after="160" w:line="360"/>
        <w:jc w:val="both"/>
      </w:pPr>
      <w:r>
        <w:rPr>
          <w:rFonts w:ascii="Times New Roman" w:cs="Times New Roman" w:eastAsia="Times New Roman" w:hAnsi="Times New Roman"/>
          <w:sz w:val="22"/>
          <w:szCs w:val="22"/>
        </w:rPr>
        <w:t xml:space="preserve">Prețul este serios și determinat. Părțile cunosc că un preț derizoriu sau o simulație pot atrage recalificarea actului.</w:t>
      </w:r>
    </w:p>
    <w:p>
      <w:pPr>
        <w:spacing w:after="160" w:line="360"/>
        <w:jc w:val="both"/>
      </w:pPr>
      <w:r>
        <w:rPr>
          <w:rFonts w:ascii="Times New Roman" w:cs="Times New Roman" w:eastAsia="Times New Roman" w:hAnsi="Times New Roman"/>
          <w:b/>
          <w:bCs/>
          <w:sz w:val="22"/>
          <w:szCs w:val="22"/>
        </w:rPr>
        <w:t xml:space="preserve">Capitolul II bis — Ipoteca legală pentru prețul datorat</w:t>
      </w:r>
    </w:p>
    <w:p>
      <w:pPr>
        <w:spacing w:after="160" w:line="360"/>
        <w:jc w:val="both"/>
      </w:pPr>
      <w:r>
        <w:rPr>
          <w:rFonts w:ascii="Times New Roman" w:cs="Times New Roman" w:eastAsia="Times New Roman" w:hAnsi="Times New Roman"/>
          <w:sz w:val="22"/>
          <w:szCs w:val="22"/>
        </w:rPr>
        <w:t xml:space="preserve">Pentru prețul care rămâne datorat, vânzătorul beneficiază de ipotecă legală asupra imobilului vândut, potrivit art. 2386 pct. 1 din Codul civil. Ipoteca garantează prețul datorat. Nu se confundă cu o ipotecă bancară, dacă părțile nu au constituit și una convențională.</w:t>
      </w:r>
    </w:p>
    <w:p>
      <w:pPr>
        <w:spacing w:after="160" w:line="360"/>
        <w:jc w:val="both"/>
      </w:pPr>
      <w:r>
        <w:rPr>
          <w:rFonts w:ascii="Times New Roman" w:cs="Times New Roman" w:eastAsia="Times New Roman" w:hAnsi="Times New Roman"/>
          <w:sz w:val="22"/>
          <w:szCs w:val="22"/>
        </w:rPr>
        <w:t xml:space="preserve">Suma, scadența și accesorile: 50000 lei, scadent la 14 aprilie 2027.</w:t>
      </w:r>
    </w:p>
    <w:p>
      <w:pPr>
        <w:spacing w:after="160" w:line="360"/>
        <w:jc w:val="both"/>
      </w:pPr>
      <w:r>
        <w:rPr>
          <w:rFonts w:ascii="Times New Roman" w:cs="Times New Roman" w:eastAsia="Times New Roman" w:hAnsi="Times New Roman"/>
          <w:sz w:val="22"/>
          <w:szCs w:val="22"/>
        </w:rPr>
        <w:t xml:space="preserve">Când prețul nu este plătit integral, dreptul cumpărătorului se intabulează odată cu ipoteca legală. Rangul este cel rezultat din cererea depusă la cartea funciară. Proiectul nu inventează suma care nu este scrisă în act.</w:t>
      </w:r>
    </w:p>
    <w:p>
      <w:pPr>
        <w:spacing w:after="160" w:line="360"/>
        <w:jc w:val="both"/>
      </w:pPr>
      <w:r>
        <w:rPr>
          <w:rFonts w:ascii="Times New Roman" w:cs="Times New Roman" w:eastAsia="Times New Roman" w:hAnsi="Times New Roman"/>
          <w:sz w:val="22"/>
          <w:szCs w:val="22"/>
        </w:rPr>
        <w:t xml:space="preserve">Ipoteca se radiază după plata integrală, pe dovada plății, în condițiile legii și ale clauzelor din original.</w:t>
      </w:r>
    </w:p>
    <w:p>
      <w:pPr>
        <w:spacing w:after="160" w:line="360"/>
        <w:jc w:val="both"/>
      </w:pPr>
      <w:r>
        <w:rPr>
          <w:rFonts w:ascii="Times New Roman" w:cs="Times New Roman" w:eastAsia="Times New Roman" w:hAnsi="Times New Roman"/>
          <w:b/>
          <w:bCs/>
          <w:sz w:val="22"/>
          <w:szCs w:val="22"/>
        </w:rPr>
        <w:t xml:space="preserve">Capitolul III — Strămutarea, predarea și garanția</w:t>
      </w:r>
    </w:p>
    <w:p>
      <w:pPr>
        <w:spacing w:after="160" w:line="360"/>
        <w:jc w:val="both"/>
      </w:pPr>
      <w:r>
        <w:rPr>
          <w:rFonts w:ascii="Times New Roman" w:cs="Times New Roman" w:eastAsia="Times New Roman" w:hAnsi="Times New Roman"/>
          <w:sz w:val="22"/>
          <w:szCs w:val="22"/>
        </w:rPr>
        <w:t xml:space="preserve">În temeiul art. 1674 din Codul civil, proprietatea se strămută de drept cumpărătorului la autentificare, dacă părțile nu au amânat-o. Față de terți, dreptul se intabulează.</w:t>
      </w:r>
    </w:p>
    <w:p>
      <w:pPr>
        <w:spacing w:after="160" w:line="360"/>
        <w:jc w:val="both"/>
      </w:pPr>
      <w:r>
        <w:rPr>
          <w:rFonts w:ascii="Times New Roman" w:cs="Times New Roman" w:eastAsia="Times New Roman" w:hAnsi="Times New Roman"/>
          <w:sz w:val="22"/>
          <w:szCs w:val="22"/>
        </w:rPr>
        <w:t xml:space="preserve">Predarea se face la autentificare, liberă de persoane și de lucruri, dacă nu s-a scris altfel. Riscul trece odată cu predarea, iar fructele urmează proprietatea.</w:t>
      </w:r>
    </w:p>
    <w:p>
      <w:pPr>
        <w:spacing w:after="160" w:line="360"/>
        <w:jc w:val="both"/>
      </w:pPr>
      <w:r>
        <w:rPr>
          <w:rFonts w:ascii="Times New Roman" w:cs="Times New Roman" w:eastAsia="Times New Roman" w:hAnsi="Times New Roman"/>
          <w:sz w:val="22"/>
          <w:szCs w:val="22"/>
        </w:rPr>
        <w:t xml:space="preserve">Vânzătorul garantează de drept contra evicțiunii care ar împiedica stăpânirea, total sau parțial, când dreptul terțului s-a născut înainte de vânzare și nu a fost adus la cunoștința cumpărătorului (art. 1695). Garantează și contra viciilor ascunse, în condițiile legii.</w:t>
      </w:r>
    </w:p>
    <w:p>
      <w:pPr>
        <w:spacing w:after="160" w:line="360"/>
        <w:jc w:val="both"/>
      </w:pPr>
      <w:r>
        <w:rPr>
          <w:rFonts w:ascii="Times New Roman" w:cs="Times New Roman" w:eastAsia="Times New Roman" w:hAnsi="Times New Roman"/>
          <w:sz w:val="22"/>
          <w:szCs w:val="22"/>
        </w:rPr>
        <w:t xml:space="preserve">Sarcini și notări declarate: ipotecă legală pentru restul de preț, de înscris odată cu dreptul.</w:t>
      </w:r>
    </w:p>
    <w:p>
      <w:pPr>
        <w:spacing w:after="160" w:line="360"/>
        <w:jc w:val="both"/>
      </w:pPr>
      <w:r>
        <w:rPr>
          <w:rFonts w:ascii="Times New Roman" w:cs="Times New Roman" w:eastAsia="Times New Roman" w:hAnsi="Times New Roman"/>
          <w:b/>
          <w:bCs/>
          <w:sz w:val="22"/>
          <w:szCs w:val="22"/>
        </w:rPr>
        <w:t xml:space="preserve">Capitolul IV — Fiscal și carte funciară</w:t>
      </w:r>
    </w:p>
    <w:p>
      <w:pPr>
        <w:spacing w:after="160" w:line="360"/>
        <w:jc w:val="both"/>
      </w:pPr>
      <w:r>
        <w:rPr>
          <w:rFonts w:ascii="Times New Roman" w:cs="Times New Roman" w:eastAsia="Times New Roman" w:hAnsi="Times New Roman"/>
          <w:sz w:val="22"/>
          <w:szCs w:val="22"/>
        </w:rPr>
        <w:t xml:space="preserve">Vânzătorul declară că a dobândit imobilul la 1 noiembrie 2024. Impozitul prevăzut de art. 111 din Codul fiscal se calculează la valoarea din act, dar nu sub valoarea din studiul de piață (valoare de lucru introdusă: 180.000,00 lei (o sută optzeci de mii de lei)). Cota este 3% pentru deținerea de până la 3 ani inclusiv și 1% pentru deținerea mai mare de 3 ani. Notarul îl reține și îl virează. Impozitul nu este onorariu și nu se reduce cu creditul sau cu cheltuielile.</w:t>
      </w:r>
    </w:p>
    <w:p>
      <w:pPr>
        <w:spacing w:after="160" w:line="360"/>
        <w:jc w:val="both"/>
      </w:pPr>
      <w:r>
        <w:rPr>
          <w:rFonts w:ascii="Times New Roman" w:cs="Times New Roman" w:eastAsia="Times New Roman" w:hAnsi="Times New Roman"/>
          <w:sz w:val="22"/>
          <w:szCs w:val="22"/>
        </w:rPr>
        <w:t xml:space="preserve">Cumpărătorul se obligă să declare imobilul la organul fiscal local în termenul legal.</w:t>
      </w:r>
    </w:p>
    <w:p>
      <w:pPr>
        <w:spacing w:after="160" w:line="360"/>
        <w:jc w:val="both"/>
      </w:pPr>
      <w:r>
        <w:rPr>
          <w:rFonts w:ascii="Times New Roman" w:cs="Times New Roman" w:eastAsia="Times New Roman" w:hAnsi="Times New Roman"/>
          <w:sz w:val="22"/>
          <w:szCs w:val="22"/>
        </w:rPr>
        <w:t xml:space="preserve">Părțile consimt la intabularea dreptului de proprietate pe numele cumpărătorului și împuternicesc biroul notarial să depună cererea la oficiul de cadastru. Tariful ANCPI se achită aparte, după tariful în vigoare în ziua cererii.</w:t>
      </w:r>
    </w:p>
    <w:p>
      <w:pPr>
        <w:spacing w:after="160" w:line="360"/>
        <w:jc w:val="both"/>
      </w:pPr>
      <w:r>
        <w:rPr>
          <w:rFonts w:ascii="Times New Roman" w:cs="Times New Roman" w:eastAsia="Times New Roman" w:hAnsi="Times New Roman"/>
          <w:b/>
          <w:bCs/>
          <w:sz w:val="22"/>
          <w:szCs w:val="22"/>
        </w:rPr>
        <w:t xml:space="preserve">Capitolul V — Declarații</w:t>
      </w:r>
    </w:p>
    <w:p>
      <w:pPr>
        <w:spacing w:after="160" w:line="360"/>
        <w:jc w:val="both"/>
      </w:pPr>
      <w:r>
        <w:rPr>
          <w:rFonts w:ascii="Times New Roman" w:cs="Times New Roman" w:eastAsia="Times New Roman" w:hAnsi="Times New Roman"/>
          <w:sz w:val="22"/>
          <w:szCs w:val="22"/>
        </w:rPr>
        <w:t xml:space="preserve">Părțile declară că au citit actul, că îl înțeleg, că consimt liber și că nu există viciu de consimțământ pe care să-l invoce acum. Declară că nu se află în vreun caz de incapacitate și că nu există o hotărâre care să le îngrădească dreptul de a dispune.</w:t>
      </w:r>
    </w:p>
    <w:p>
      <w:pPr>
        <w:spacing w:after="160" w:line="360"/>
        <w:jc w:val="both"/>
      </w:pPr>
      <w:r>
        <w:rPr>
          <w:rFonts w:ascii="Times New Roman" w:cs="Times New Roman" w:eastAsia="Times New Roman" w:hAnsi="Times New Roman"/>
          <w:sz w:val="22"/>
          <w:szCs w:val="22"/>
        </w:rPr>
        <w:t xml:space="preserve">Cheltuielile autentificării se suportă potrivit înțelegerii părților și, în lipsă, potrivit uzanței: onorariul de autentificare și intabularea, de cumpărător; impozitul pe transfer și extrasul pentru autentificare, de vânzător. Onorariul nu poate coborî sub minimul din OMJ nr. 177/C/2024.</w:t>
      </w:r>
    </w:p>
    <w:p>
      <w:pPr>
        <w:spacing w:after="160" w:line="360"/>
        <w:jc w:val="both"/>
      </w:pPr>
      <w:r>
        <w:rPr>
          <w:rFonts w:ascii="Times New Roman" w:cs="Times New Roman" w:eastAsia="Times New Roman" w:hAnsi="Times New Roman"/>
          <w:sz w:val="22"/>
          <w:szCs w:val="22"/>
        </w:rPr>
        <w:t xml:space="preserve">Nu au fost convenite alte clauze.</w:t>
      </w:r>
    </w:p>
    <w:p>
      <w:pPr>
        <w:spacing w:after="160" w:line="360"/>
        <w:jc w:val="both"/>
      </w:pPr>
      <w:r>
        <w:rPr>
          <w:rFonts w:ascii="Times New Roman" w:cs="Times New Roman" w:eastAsia="Times New Roman" w:hAnsi="Times New Roman"/>
          <w:sz w:val="22"/>
          <w:szCs w:val="22"/>
        </w:rPr>
        <w:t xml:space="preserve">Drept pentru care s-a încheiat prezentul înscris, în numărul de exemplare cerut de lege și de oficiul de cadastru, dintre care unul se păstrează în arhiva biroului.</w:t>
      </w:r>
    </w:p>
    <w:p>
      <w:pPr>
        <w:spacing w:after="160" w:line="360"/>
        <w:jc w:val="both"/>
      </w:pPr>
      <w:r>
        <w:rPr>
          <w:rFonts w:ascii="Times New Roman" w:cs="Times New Roman" w:eastAsia="Times New Roman" w:hAnsi="Times New Roman"/>
          <w:sz w:val="22"/>
          <w:szCs w:val="22"/>
        </w:rPr>
        <w:t xml:space="preserve">Acest fișier este proiect. Numărul de autentificare, încheierea și semnăturile se scriu numai în original, după identificarea părților.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1244. Formă autentică pentru drepturile care se înscriu în cartea funciară.</w:t>
      </w:r>
    </w:p>
    <w:p>
      <w:pPr>
        <w:spacing w:after="160" w:line="360"/>
        <w:jc w:val="both"/>
      </w:pPr>
      <w:r>
        <w:rPr>
          <w:rFonts w:ascii="Times New Roman" w:cs="Times New Roman" w:eastAsia="Times New Roman" w:hAnsi="Times New Roman"/>
          <w:sz w:val="22"/>
          <w:szCs w:val="22"/>
        </w:rPr>
        <w:t xml:space="preserve">Codul civil, art. 1650 și art. 1672–1674. Vânzarea, obligațiile vânzătorului și strămutarea proprietății.</w:t>
      </w:r>
    </w:p>
    <w:p>
      <w:pPr>
        <w:spacing w:after="160" w:line="360"/>
        <w:jc w:val="both"/>
      </w:pPr>
      <w:r>
        <w:rPr>
          <w:rFonts w:ascii="Times New Roman" w:cs="Times New Roman" w:eastAsia="Times New Roman" w:hAnsi="Times New Roman"/>
          <w:sz w:val="22"/>
          <w:szCs w:val="22"/>
        </w:rPr>
        <w:t xml:space="preserve">Codul civil, art. 1695. Garanția de drept contra evicțiunii.</w:t>
      </w:r>
    </w:p>
    <w:p>
      <w:pPr>
        <w:spacing w:after="160" w:line="360"/>
        <w:jc w:val="both"/>
      </w:pPr>
      <w:r>
        <w:rPr>
          <w:rFonts w:ascii="Times New Roman" w:cs="Times New Roman" w:eastAsia="Times New Roman" w:hAnsi="Times New Roman"/>
          <w:sz w:val="22"/>
          <w:szCs w:val="22"/>
        </w:rPr>
        <w:t xml:space="preserve">Codul civil, art. 339 și art. 357. Bunurile comune și lichidarea comunității.</w:t>
      </w:r>
    </w:p>
    <w:p>
      <w:pPr>
        <w:spacing w:after="160" w:line="360"/>
        <w:jc w:val="both"/>
      </w:pPr>
      <w:r>
        <w:rPr>
          <w:rFonts w:ascii="Times New Roman" w:cs="Times New Roman" w:eastAsia="Times New Roman" w:hAnsi="Times New Roman"/>
          <w:sz w:val="22"/>
          <w:szCs w:val="22"/>
        </w:rPr>
        <w:t xml:space="preserve">Codul fiscal, art. 111. Impozit 3% până la 3 ani inclusiv, 1% după 3 ani, bază cel puțin la studiul de piață.</w:t>
      </w:r>
    </w:p>
    <w:p>
      <w:pPr>
        <w:spacing w:after="160" w:line="360"/>
        <w:jc w:val="both"/>
      </w:pPr>
      <w:r>
        <w:rPr>
          <w:rFonts w:ascii="Times New Roman" w:cs="Times New Roman" w:eastAsia="Times New Roman" w:hAnsi="Times New Roman"/>
          <w:sz w:val="22"/>
          <w:szCs w:val="22"/>
        </w:rPr>
        <w:t xml:space="preserve">OMJ nr. 177/C/2024, anexa nr. 2 pct. I. Onorariu minimal pentru actul translativ asupra imobilului.</w:t>
      </w:r>
    </w:p>
    <w:p>
      <w:pPr>
        <w:spacing w:after="160" w:line="360"/>
        <w:jc w:val="both"/>
      </w:pPr>
      <w:r>
        <w:rPr>
          <w:rFonts w:ascii="Times New Roman" w:cs="Times New Roman" w:eastAsia="Times New Roman" w:hAnsi="Times New Roman"/>
          <w:sz w:val="22"/>
          <w:szCs w:val="22"/>
        </w:rPr>
        <w:t xml:space="preserve">Codul civil, art. 2386 pct. 1. Vânzătorul are ipotecă legală asupra imobilului vândut, pentru prețul datorat.</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2026-10-14T13:55:25.780Z</dcterms:created>
  <dcterms:modified xsi:type="dcterms:W3CDTF">2026-10-14T13:55:25.780Z</dcterms:modified>
</cp:coreProperties>
</file>

<file path=docProps/custom.xml><?xml version="1.0" encoding="utf-8"?>
<Properties xmlns="http://schemas.openxmlformats.org/officeDocument/2006/custom-properties" xmlns:vt="http://schemas.openxmlformats.org/officeDocument/2006/docPropsVTypes"/>
</file>