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sz w:val="22"/>
          <w:szCs w:val="22"/>
        </w:rPr>
        <w:t xml:space="preserve">ROMÂNIA</w:t>
      </w:r>
    </w:p>
    <w:p>
      <w:pPr>
        <w:spacing w:after="160" w:line="360"/>
        <w:jc w:val="center"/>
      </w:pPr>
      <w:r>
        <w:rPr>
          <w:rFonts w:ascii="Times New Roman" w:cs="Times New Roman" w:eastAsia="Times New Roman" w:hAnsi="Times New Roman"/>
          <w:sz w:val="22"/>
          <w:szCs w:val="22"/>
        </w:rPr>
        <w:t xml:space="preserve">UNIUNEA NAȚIONALĂ A NOTARILOR PUBLICI DIN ROMÂNIA</w:t>
      </w:r>
    </w:p>
    <w:p>
      <w:pPr>
        <w:spacing w:after="160" w:line="360"/>
        <w:jc w:val="center"/>
      </w:pPr>
      <w:r>
        <w:rPr>
          <w:rFonts w:ascii="Times New Roman" w:cs="Times New Roman" w:eastAsia="Times New Roman" w:hAnsi="Times New Roman"/>
          <w:sz w:val="22"/>
          <w:szCs w:val="22"/>
        </w:rPr>
        <w:t xml:space="preserve">Camera Notarilor Publici Cluj</w:t>
      </w:r>
    </w:p>
    <w:p>
      <w:pPr>
        <w:spacing w:after="160" w:line="360"/>
        <w:jc w:val="center"/>
      </w:pPr>
      <w:r>
        <w:rPr>
          <w:rFonts w:ascii="Times New Roman" w:cs="Times New Roman" w:eastAsia="Times New Roman" w:hAnsi="Times New Roman"/>
          <w:sz w:val="22"/>
          <w:szCs w:val="22"/>
        </w:rPr>
        <w:t xml:space="preserve">BIROUL NOTARULUI PUBLIC Ionescu Andrei</w:t>
      </w:r>
    </w:p>
    <w:p>
      <w:pPr>
        <w:spacing w:after="160" w:line="360"/>
        <w:jc w:val="center"/>
      </w:pPr>
      <w:r>
        <w:rPr>
          <w:rFonts w:ascii="Times New Roman" w:cs="Times New Roman" w:eastAsia="Times New Roman" w:hAnsi="Times New Roman"/>
          <w:sz w:val="22"/>
          <w:szCs w:val="22"/>
        </w:rPr>
        <w:t xml:space="preserve">Sediul: Cluj-Napoca, str. Memorandumului nr. 28</w:t>
      </w:r>
    </w:p>
    <w:p>
      <w:pPr>
        <w:spacing w:after="160" w:line="360"/>
        <w:jc w:val="center"/>
      </w:pPr>
      <w:r>
        <w:rPr>
          <w:rFonts w:ascii="Times New Roman" w:cs="Times New Roman" w:eastAsia="Times New Roman" w:hAnsi="Times New Roman"/>
          <w:sz w:val="22"/>
          <w:szCs w:val="22"/>
        </w:rPr>
        <w:t xml:space="preserve">Licența de funcționare nr. 145/12.03.2019</w:t>
      </w:r>
    </w:p>
    <w:p>
      <w:pPr>
        <w:spacing w:after="160" w:line="360"/>
        <w:jc w:val="center"/>
      </w:pPr>
      <w:r>
        <w:rPr>
          <w:rFonts w:ascii="Times New Roman" w:cs="Times New Roman" w:eastAsia="Times New Roman" w:hAnsi="Times New Roman"/>
          <w:sz w:val="22"/>
          <w:szCs w:val="22"/>
        </w:rPr>
        <w:t xml:space="preserve">Circumscripția: Circumscripția Tribunalului Cluj</w:t>
      </w:r>
    </w:p>
    <w:p>
      <w:pPr>
        <w:spacing w:after="160" w:line="360"/>
        <w:jc w:val="center"/>
      </w:pPr>
      <w:r>
        <w:rPr>
          <w:rFonts w:ascii="Times New Roman" w:cs="Times New Roman" w:eastAsia="Times New Roman" w:hAnsi="Times New Roman"/>
          <w:sz w:val="22"/>
          <w:szCs w:val="22"/>
        </w:rPr>
        <w:t xml:space="preserve"/>
      </w:r>
    </w:p>
    <w:p>
      <w:pPr>
        <w:spacing w:after="160" w:line="360"/>
        <w:jc w:val="center"/>
      </w:pPr>
      <w:r>
        <w:rPr>
          <w:rFonts w:ascii="Times New Roman" w:cs="Times New Roman" w:eastAsia="Times New Roman" w:hAnsi="Times New Roman"/>
          <w:b/>
          <w:bCs/>
          <w:sz w:val="22"/>
          <w:szCs w:val="22"/>
        </w:rPr>
        <w:t xml:space="preserve">PROIECT DE LUCRU — NU ESTE ÎNSCRIS AUTENTIC</w:t>
      </w:r>
    </w:p>
    <w:p>
      <w:pPr>
        <w:spacing w:after="160" w:line="360"/>
        <w:jc w:val="center"/>
      </w:pPr>
      <w:r>
        <w:rPr>
          <w:rFonts w:ascii="Times New Roman" w:cs="Times New Roman" w:eastAsia="Times New Roman" w:hAnsi="Times New Roman"/>
          <w:sz w:val="22"/>
          <w:szCs w:val="22"/>
        </w:rPr>
        <w:t xml:space="preserve">Document de asistență, generat local. Nu ține loc de consimțământ, nu are dată certă și nu se înscrie în cartea funciară. Notarul instrumentator verifică identitatea, capacitatea, consimțământul, proba dreptului și forma consolidată a legii în ziua actului.</w:t>
      </w:r>
    </w:p>
    <w:p>
      <w:pPr>
        <w:pStyle w:val="Heading2"/>
        <w:spacing w:after="160" w:line="360"/>
        <w:jc w:val="center"/>
      </w:pPr>
      <w:r>
        <w:rPr>
          <w:rFonts w:ascii="Times New Roman" w:cs="Times New Roman" w:eastAsia="Times New Roman" w:hAnsi="Times New Roman"/>
          <w:b/>
          <w:bCs/>
          <w:sz w:val="24"/>
          <w:szCs w:val="24"/>
        </w:rPr>
        <w:t xml:space="preserve">CONTRACT DE VÂNZARE</w:t>
      </w:r>
    </w:p>
    <w:p>
      <w:pPr>
        <w:spacing w:after="160" w:line="360"/>
        <w:jc w:val="both"/>
      </w:pPr>
      <w:r>
        <w:rPr>
          <w:rFonts w:ascii="Times New Roman" w:cs="Times New Roman" w:eastAsia="Times New Roman" w:hAnsi="Times New Roman"/>
          <w:sz w:val="22"/>
          <w:szCs w:val="22"/>
        </w:rPr>
        <w:t xml:space="preserve">Astăzi, 14 octombrie 2026, în municipiul Cluj-Napoca, înaintea notarului public, s-au prezentat părțile de mai jos. Ele cer redactarea și, după verificarea condițiilor legale, autentificarea prezentului înscris.</w:t>
      </w:r>
    </w:p>
    <w:p>
      <w:pPr>
        <w:spacing w:after="160" w:line="360"/>
        <w:jc w:val="both"/>
      </w:pPr>
      <w:r>
        <w:rPr>
          <w:rFonts w:ascii="Times New Roman" w:cs="Times New Roman" w:eastAsia="Times New Roman" w:hAnsi="Times New Roman"/>
          <w:sz w:val="22"/>
          <w:szCs w:val="22"/>
        </w:rPr>
        <w:t xml:space="preserve">Vânzător: Costin Mureșan, identificat/identificată cu C.I. seria CJ nr. 100005, CNP 1680211120158, domiciliat/domiciliată în Cluj-Napoca, strada Fabricii nr 2, stare civilă: divorțat.</w:t>
      </w:r>
    </w:p>
    <w:p>
      <w:pPr>
        <w:spacing w:after="160" w:line="360"/>
        <w:jc w:val="both"/>
      </w:pPr>
      <w:r>
        <w:rPr>
          <w:rFonts w:ascii="Times New Roman" w:cs="Times New Roman" w:eastAsia="Times New Roman" w:hAnsi="Times New Roman"/>
          <w:sz w:val="22"/>
          <w:szCs w:val="22"/>
        </w:rPr>
        <w:t xml:space="preserve">Cumpărător: Ana Pop, identificat/identificată cu C.I. seria CJ nr. 100006, CNP 2840130130047, domiciliat/domiciliată în Cluj-Napoca, strada Traian nr 15, stare civilă: necăsătorită.</w:t>
      </w:r>
    </w:p>
    <w:p>
      <w:pPr>
        <w:spacing w:after="160" w:line="360"/>
        <w:jc w:val="both"/>
      </w:pPr>
      <w:r>
        <w:rPr>
          <w:rFonts w:ascii="Times New Roman" w:cs="Times New Roman" w:eastAsia="Times New Roman" w:hAnsi="Times New Roman"/>
          <w:b/>
          <w:bCs/>
          <w:sz w:val="22"/>
          <w:szCs w:val="22"/>
        </w:rPr>
        <w:t xml:space="preserve">Capitolul I — Obiectul</w:t>
      </w:r>
    </w:p>
    <w:p>
      <w:pPr>
        <w:spacing w:after="160" w:line="360"/>
        <w:jc w:val="both"/>
      </w:pPr>
      <w:r>
        <w:rPr>
          <w:rFonts w:ascii="Times New Roman" w:cs="Times New Roman" w:eastAsia="Times New Roman" w:hAnsi="Times New Roman"/>
          <w:sz w:val="22"/>
          <w:szCs w:val="22"/>
        </w:rPr>
        <w:t xml:space="preserve">Vânzătorul vinde cumpărătorului, care cumpără, imobilul: teren agricol extravilan, tarla 12, parcela 4, comuna Apahida.</w:t>
      </w:r>
    </w:p>
    <w:p>
      <w:pPr>
        <w:spacing w:after="160" w:line="360"/>
        <w:jc w:val="both"/>
      </w:pPr>
      <w:r>
        <w:rPr>
          <w:rFonts w:ascii="Times New Roman" w:cs="Times New Roman" w:eastAsia="Times New Roman" w:hAnsi="Times New Roman"/>
          <w:sz w:val="22"/>
          <w:szCs w:val="22"/>
        </w:rPr>
        <w:t xml:space="preserve">Imobilul este înscris în cartea funciară nr. 456789 a UAT Cluj-Napoca, județul Cluj, număr cadastral 45678, suprafață 5000 mp.</w:t>
      </w:r>
    </w:p>
    <w:p>
      <w:pPr>
        <w:spacing w:after="160" w:line="360"/>
        <w:jc w:val="both"/>
      </w:pPr>
      <w:r>
        <w:rPr>
          <w:rFonts w:ascii="Times New Roman" w:cs="Times New Roman" w:eastAsia="Times New Roman" w:hAnsi="Times New Roman"/>
          <w:sz w:val="22"/>
          <w:szCs w:val="22"/>
        </w:rPr>
        <w:t xml:space="preserve">Vânzătorul declară că imobilul este bun propriu și că nu face parte dintr-o comunitate de bunuri.</w:t>
      </w:r>
    </w:p>
    <w:p>
      <w:pPr>
        <w:spacing w:after="160" w:line="360"/>
        <w:jc w:val="both"/>
      </w:pPr>
      <w:r>
        <w:rPr>
          <w:rFonts w:ascii="Times New Roman" w:cs="Times New Roman" w:eastAsia="Times New Roman" w:hAnsi="Times New Roman"/>
          <w:sz w:val="22"/>
          <w:szCs w:val="22"/>
        </w:rPr>
        <w:t xml:space="preserve">Identificarea din act se confruntă cu extrasul de carte funciară pentru autentificare, valabil la data semnării. Un extras expirat nu se folosește.</w:t>
      </w:r>
    </w:p>
    <w:p>
      <w:pPr>
        <w:spacing w:after="160" w:line="360"/>
        <w:jc w:val="both"/>
      </w:pPr>
      <w:r>
        <w:rPr>
          <w:rFonts w:ascii="Times New Roman" w:cs="Times New Roman" w:eastAsia="Times New Roman" w:hAnsi="Times New Roman"/>
          <w:sz w:val="22"/>
          <w:szCs w:val="22"/>
        </w:rPr>
        <w:t xml:space="preserve">Părțile declară că obiectul cuprinde teren agricol situat în extravilan. Vânzarea se autentifică numai după procedura de preempțiune și avizele cerute de Legea nr. 17/2014. Lipsa dosarului de preempțiune oprește actul.</w:t>
      </w:r>
    </w:p>
    <w:p>
      <w:pPr>
        <w:spacing w:after="160" w:line="360"/>
        <w:jc w:val="both"/>
      </w:pPr>
      <w:r>
        <w:rPr>
          <w:rFonts w:ascii="Times New Roman" w:cs="Times New Roman" w:eastAsia="Times New Roman" w:hAnsi="Times New Roman"/>
          <w:b/>
          <w:bCs/>
          <w:sz w:val="22"/>
          <w:szCs w:val="22"/>
        </w:rPr>
        <w:t xml:space="preserve">Capitolul II — Prețul</w:t>
      </w:r>
    </w:p>
    <w:p>
      <w:pPr>
        <w:spacing w:after="160" w:line="360"/>
        <w:jc w:val="both"/>
      </w:pPr>
      <w:r>
        <w:rPr>
          <w:rFonts w:ascii="Times New Roman" w:cs="Times New Roman" w:eastAsia="Times New Roman" w:hAnsi="Times New Roman"/>
          <w:sz w:val="22"/>
          <w:szCs w:val="22"/>
        </w:rPr>
        <w:t xml:space="preserve">Prețul vânzării este de 120.000,00 lei (o sută douăzeci de mii de lei).</w:t>
      </w:r>
    </w:p>
    <w:p>
      <w:pPr>
        <w:spacing w:after="160" w:line="360"/>
        <w:jc w:val="both"/>
      </w:pPr>
      <w:r>
        <w:rPr>
          <w:rFonts w:ascii="Times New Roman" w:cs="Times New Roman" w:eastAsia="Times New Roman" w:hAnsi="Times New Roman"/>
          <w:sz w:val="22"/>
          <w:szCs w:val="22"/>
        </w:rPr>
        <w:t xml:space="preserve">Cumpărătorul achită prețul integral la autentificare, în forma care lasă urmă (virament sau instrument care poate fi arătat băncii și fiscului). Vânzătorul va confirma încasarea în actul definitiv, nu în acest proiect.</w:t>
      </w:r>
    </w:p>
    <w:p>
      <w:pPr>
        <w:spacing w:after="160" w:line="360"/>
        <w:jc w:val="both"/>
      </w:pPr>
      <w:r>
        <w:rPr>
          <w:rFonts w:ascii="Times New Roman" w:cs="Times New Roman" w:eastAsia="Times New Roman" w:hAnsi="Times New Roman"/>
          <w:sz w:val="22"/>
          <w:szCs w:val="22"/>
        </w:rPr>
        <w:t xml:space="preserve">Prețul este serios și determinat. Părțile cunosc că un preț derizoriu sau o simulație pot atrage recalificarea actului.</w:t>
      </w:r>
    </w:p>
    <w:p>
      <w:pPr>
        <w:spacing w:after="160" w:line="360"/>
        <w:jc w:val="both"/>
      </w:pPr>
      <w:r>
        <w:rPr>
          <w:rFonts w:ascii="Times New Roman" w:cs="Times New Roman" w:eastAsia="Times New Roman" w:hAnsi="Times New Roman"/>
          <w:b/>
          <w:bCs/>
          <w:sz w:val="22"/>
          <w:szCs w:val="22"/>
        </w:rPr>
        <w:t xml:space="preserve">Capitolul III — Strămutarea, predarea și garanția</w:t>
      </w:r>
    </w:p>
    <w:p>
      <w:pPr>
        <w:spacing w:after="160" w:line="360"/>
        <w:jc w:val="both"/>
      </w:pPr>
      <w:r>
        <w:rPr>
          <w:rFonts w:ascii="Times New Roman" w:cs="Times New Roman" w:eastAsia="Times New Roman" w:hAnsi="Times New Roman"/>
          <w:sz w:val="22"/>
          <w:szCs w:val="22"/>
        </w:rPr>
        <w:t xml:space="preserve">În temeiul art. 1674 din Codul civil, proprietatea se strămută de drept cumpărătorului la autentificare, dacă părțile nu au amânat-o. Față de terți, dreptul se intabulează.</w:t>
      </w:r>
    </w:p>
    <w:p>
      <w:pPr>
        <w:spacing w:after="160" w:line="360"/>
        <w:jc w:val="both"/>
      </w:pPr>
      <w:r>
        <w:rPr>
          <w:rFonts w:ascii="Times New Roman" w:cs="Times New Roman" w:eastAsia="Times New Roman" w:hAnsi="Times New Roman"/>
          <w:sz w:val="22"/>
          <w:szCs w:val="22"/>
        </w:rPr>
        <w:t xml:space="preserve">Predarea se face la autentificare, liberă de persoane și de lucruri, dacă nu s-a scris altfel. Riscul trece odată cu predarea, iar fructele urmează proprietatea.</w:t>
      </w:r>
    </w:p>
    <w:p>
      <w:pPr>
        <w:spacing w:after="160" w:line="360"/>
        <w:jc w:val="both"/>
      </w:pPr>
      <w:r>
        <w:rPr>
          <w:rFonts w:ascii="Times New Roman" w:cs="Times New Roman" w:eastAsia="Times New Roman" w:hAnsi="Times New Roman"/>
          <w:sz w:val="22"/>
          <w:szCs w:val="22"/>
        </w:rPr>
        <w:t xml:space="preserve">Vânzătorul garantează de drept contra evicțiunii care ar împiedica stăpânirea, total sau parțial, când dreptul terțului s-a născut înainte de vânzare și nu a fost adus la cunoștința cumpărătorului (art. 1695). Garantează și contra viciilor ascunse, în condițiile legii.</w:t>
      </w:r>
    </w:p>
    <w:p>
      <w:pPr>
        <w:spacing w:after="160" w:line="360"/>
        <w:jc w:val="both"/>
      </w:pPr>
      <w:r>
        <w:rPr>
          <w:rFonts w:ascii="Times New Roman" w:cs="Times New Roman" w:eastAsia="Times New Roman" w:hAnsi="Times New Roman"/>
          <w:sz w:val="22"/>
          <w:szCs w:val="22"/>
        </w:rPr>
        <w:t xml:space="preserve">Sarcini și notări declarate: liber de sarcini, sub condiția avizelor de preempțiune.</w:t>
      </w:r>
    </w:p>
    <w:p>
      <w:pPr>
        <w:spacing w:after="160" w:line="360"/>
        <w:jc w:val="both"/>
      </w:pPr>
      <w:r>
        <w:rPr>
          <w:rFonts w:ascii="Times New Roman" w:cs="Times New Roman" w:eastAsia="Times New Roman" w:hAnsi="Times New Roman"/>
          <w:b/>
          <w:bCs/>
          <w:sz w:val="22"/>
          <w:szCs w:val="22"/>
        </w:rPr>
        <w:t xml:space="preserve">Capitolul IV — Fiscal și carte funciară</w:t>
      </w:r>
    </w:p>
    <w:p>
      <w:pPr>
        <w:spacing w:after="160" w:line="360"/>
        <w:jc w:val="both"/>
      </w:pPr>
      <w:r>
        <w:rPr>
          <w:rFonts w:ascii="Times New Roman" w:cs="Times New Roman" w:eastAsia="Times New Roman" w:hAnsi="Times New Roman"/>
          <w:sz w:val="22"/>
          <w:szCs w:val="22"/>
        </w:rPr>
        <w:t xml:space="preserve">Vânzătorul declară că a dobândit imobilul la 1 aprilie 2010. Impozitul prevăzut de art. 111 din Codul fiscal se calculează la valoarea din act, dar nu sub valoarea din studiul de piață (valoare de lucru introdusă: 120.000,00 lei (o sută douăzeci de mii de lei)). Cota este 3% pentru deținerea de până la 3 ani inclusiv și 1% pentru deținerea mai mare de 3 ani. Notarul îl reține și îl virează. Impozitul nu este onorariu și nu se reduce cu creditul sau cu cheltuielile.</w:t>
      </w:r>
    </w:p>
    <w:p>
      <w:pPr>
        <w:spacing w:after="160" w:line="360"/>
        <w:jc w:val="both"/>
      </w:pPr>
      <w:r>
        <w:rPr>
          <w:rFonts w:ascii="Times New Roman" w:cs="Times New Roman" w:eastAsia="Times New Roman" w:hAnsi="Times New Roman"/>
          <w:sz w:val="22"/>
          <w:szCs w:val="22"/>
        </w:rPr>
        <w:t xml:space="preserve">Cumpărătorul se obligă să declare imobilul la organul fiscal local în termenul legal.</w:t>
      </w:r>
    </w:p>
    <w:p>
      <w:pPr>
        <w:spacing w:after="160" w:line="360"/>
        <w:jc w:val="both"/>
      </w:pPr>
      <w:r>
        <w:rPr>
          <w:rFonts w:ascii="Times New Roman" w:cs="Times New Roman" w:eastAsia="Times New Roman" w:hAnsi="Times New Roman"/>
          <w:sz w:val="22"/>
          <w:szCs w:val="22"/>
        </w:rPr>
        <w:t xml:space="preserve">Părțile consimt la intabularea dreptului de proprietate pe numele cumpărătorului și împuternicesc biroul notarial să depună cererea la oficiul de cadastru. Tariful ANCPI se achită aparte, după tariful în vigoare în ziua cererii.</w:t>
      </w:r>
    </w:p>
    <w:p>
      <w:pPr>
        <w:spacing w:after="160" w:line="360"/>
        <w:jc w:val="both"/>
      </w:pPr>
      <w:r>
        <w:rPr>
          <w:rFonts w:ascii="Times New Roman" w:cs="Times New Roman" w:eastAsia="Times New Roman" w:hAnsi="Times New Roman"/>
          <w:b/>
          <w:bCs/>
          <w:sz w:val="22"/>
          <w:szCs w:val="22"/>
        </w:rPr>
        <w:t xml:space="preserve">Capitolul V — Declarații</w:t>
      </w:r>
    </w:p>
    <w:p>
      <w:pPr>
        <w:spacing w:after="160" w:line="360"/>
        <w:jc w:val="both"/>
      </w:pPr>
      <w:r>
        <w:rPr>
          <w:rFonts w:ascii="Times New Roman" w:cs="Times New Roman" w:eastAsia="Times New Roman" w:hAnsi="Times New Roman"/>
          <w:sz w:val="22"/>
          <w:szCs w:val="22"/>
        </w:rPr>
        <w:t xml:space="preserve">Părțile declară că au citit actul, că îl înțeleg, că consimt liber și că nu există viciu de consimțământ pe care să-l invoce acum. Declară că nu se află în vreun caz de incapacitate și că nu există o hotărâre care să le îngrădească dreptul de a dispune.</w:t>
      </w:r>
    </w:p>
    <w:p>
      <w:pPr>
        <w:spacing w:after="160" w:line="360"/>
        <w:jc w:val="both"/>
      </w:pPr>
      <w:r>
        <w:rPr>
          <w:rFonts w:ascii="Times New Roman" w:cs="Times New Roman" w:eastAsia="Times New Roman" w:hAnsi="Times New Roman"/>
          <w:sz w:val="22"/>
          <w:szCs w:val="22"/>
        </w:rPr>
        <w:t xml:space="preserve">Cheltuielile autentificării se suportă potrivit înțelegerii părților și, în lipsă, potrivit uzanței: onorariul de autentificare și intabularea, de cumpărător; impozitul pe transfer și extrasul pentru autentificare, de vânzător. Onorariul nu poate coborî sub minimul din OMJ nr. 177/C/2024.</w:t>
      </w:r>
    </w:p>
    <w:p>
      <w:pPr>
        <w:spacing w:after="160" w:line="360"/>
        <w:jc w:val="both"/>
      </w:pPr>
      <w:r>
        <w:rPr>
          <w:rFonts w:ascii="Times New Roman" w:cs="Times New Roman" w:eastAsia="Times New Roman" w:hAnsi="Times New Roman"/>
          <w:sz w:val="22"/>
          <w:szCs w:val="22"/>
        </w:rPr>
        <w:t xml:space="preserve">Nu au fost convenite alte clauze.</w:t>
      </w:r>
    </w:p>
    <w:p>
      <w:pPr>
        <w:spacing w:after="160" w:line="360"/>
        <w:jc w:val="both"/>
      </w:pPr>
      <w:r>
        <w:rPr>
          <w:rFonts w:ascii="Times New Roman" w:cs="Times New Roman" w:eastAsia="Times New Roman" w:hAnsi="Times New Roman"/>
          <w:sz w:val="22"/>
          <w:szCs w:val="22"/>
        </w:rPr>
        <w:t xml:space="preserve">Drept pentru care s-a încheiat prezentul înscris, în numărul de exemplare cerut de lege și de oficiul de cadastru, dintre care unul se păstrează în arhiva biroului.</w:t>
      </w:r>
    </w:p>
    <w:p>
      <w:pPr>
        <w:spacing w:after="160" w:line="360"/>
        <w:jc w:val="both"/>
      </w:pPr>
      <w:r>
        <w:rPr>
          <w:rFonts w:ascii="Times New Roman" w:cs="Times New Roman" w:eastAsia="Times New Roman" w:hAnsi="Times New Roman"/>
          <w:sz w:val="22"/>
          <w:szCs w:val="22"/>
        </w:rPr>
        <w:t xml:space="preserve">Acest fișier este proiect. Numărul de autentificare, încheierea și semnăturile se scriu numai în original, după identificarea părților.</w:t>
      </w:r>
    </w:p>
    <w:p>
      <w:pPr>
        <w:spacing w:after="160" w:line="360"/>
        <w:jc w:val="both"/>
      </w:pPr>
      <w:r>
        <w:rPr>
          <w:rFonts w:ascii="Times New Roman" w:cs="Times New Roman" w:eastAsia="Times New Roman" w:hAnsi="Times New Roman"/>
          <w:b/>
          <w:bCs/>
          <w:sz w:val="22"/>
          <w:szCs w:val="22"/>
        </w:rPr>
        <w:t xml:space="preserve">Temeiuri reținute în proiect</w:t>
      </w:r>
    </w:p>
    <w:p>
      <w:pPr>
        <w:spacing w:after="160" w:line="360"/>
        <w:jc w:val="both"/>
      </w:pPr>
      <w:r>
        <w:rPr>
          <w:rFonts w:ascii="Times New Roman" w:cs="Times New Roman" w:eastAsia="Times New Roman" w:hAnsi="Times New Roman"/>
          <w:sz w:val="22"/>
          <w:szCs w:val="22"/>
        </w:rPr>
        <w:t xml:space="preserve">Codul civil, art. 1244. Formă autentică pentru drepturile care se înscriu în cartea funciară.</w:t>
      </w:r>
    </w:p>
    <w:p>
      <w:pPr>
        <w:spacing w:after="160" w:line="360"/>
        <w:jc w:val="both"/>
      </w:pPr>
      <w:r>
        <w:rPr>
          <w:rFonts w:ascii="Times New Roman" w:cs="Times New Roman" w:eastAsia="Times New Roman" w:hAnsi="Times New Roman"/>
          <w:sz w:val="22"/>
          <w:szCs w:val="22"/>
        </w:rPr>
        <w:t xml:space="preserve">Codul civil, art. 1650 și art. 1672–1674. Vânzarea, obligațiile vânzătorului și strămutarea proprietății.</w:t>
      </w:r>
    </w:p>
    <w:p>
      <w:pPr>
        <w:spacing w:after="160" w:line="360"/>
        <w:jc w:val="both"/>
      </w:pPr>
      <w:r>
        <w:rPr>
          <w:rFonts w:ascii="Times New Roman" w:cs="Times New Roman" w:eastAsia="Times New Roman" w:hAnsi="Times New Roman"/>
          <w:sz w:val="22"/>
          <w:szCs w:val="22"/>
        </w:rPr>
        <w:t xml:space="preserve">Codul civil, art. 1695. Garanția de drept contra evicțiunii.</w:t>
      </w:r>
    </w:p>
    <w:p>
      <w:pPr>
        <w:spacing w:after="160" w:line="360"/>
        <w:jc w:val="both"/>
      </w:pPr>
      <w:r>
        <w:rPr>
          <w:rFonts w:ascii="Times New Roman" w:cs="Times New Roman" w:eastAsia="Times New Roman" w:hAnsi="Times New Roman"/>
          <w:sz w:val="22"/>
          <w:szCs w:val="22"/>
        </w:rPr>
        <w:t xml:space="preserve">Codul civil, art. 339 și art. 357. Bunurile comune și lichidarea comunității.</w:t>
      </w:r>
    </w:p>
    <w:p>
      <w:pPr>
        <w:spacing w:after="160" w:line="360"/>
        <w:jc w:val="both"/>
      </w:pPr>
      <w:r>
        <w:rPr>
          <w:rFonts w:ascii="Times New Roman" w:cs="Times New Roman" w:eastAsia="Times New Roman" w:hAnsi="Times New Roman"/>
          <w:sz w:val="22"/>
          <w:szCs w:val="22"/>
        </w:rPr>
        <w:t xml:space="preserve">Codul fiscal, art. 111. Impozit 3% până la 3 ani inclusiv, 1% după 3 ani, bază cel puțin la studiul de piață.</w:t>
      </w:r>
    </w:p>
    <w:p>
      <w:pPr>
        <w:spacing w:after="160" w:line="360"/>
        <w:jc w:val="both"/>
      </w:pPr>
      <w:r>
        <w:rPr>
          <w:rFonts w:ascii="Times New Roman" w:cs="Times New Roman" w:eastAsia="Times New Roman" w:hAnsi="Times New Roman"/>
          <w:sz w:val="22"/>
          <w:szCs w:val="22"/>
        </w:rPr>
        <w:t xml:space="preserve">OMJ nr. 177/C/2024, anexa nr. 2 pct. I. Onorariu minimal pentru actul translativ asupra imobilului.</w:t>
      </w:r>
    </w:p>
    <w:sectPr>
      <w:pgSz w:w="11906" w:h="16838" w:orient="portrait"/>
      <w:pgMar w:top="720" w:right="850" w:bottom="72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2026-10-14T13:55:26.139Z</dcterms:created>
  <dcterms:modified xsi:type="dcterms:W3CDTF">2026-10-14T13:55:26.139Z</dcterms:modified>
</cp:coreProperties>
</file>

<file path=docProps/custom.xml><?xml version="1.0" encoding="utf-8"?>
<Properties xmlns="http://schemas.openxmlformats.org/officeDocument/2006/custom-properties" xmlns:vt="http://schemas.openxmlformats.org/officeDocument/2006/docPropsVTypes"/>
</file>