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CONTRACT DE DONAȚIE</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Donator: Vera Mureșan, identificat/identificată cu C.I. seria CJ nr. 100009, CNP 2710625120168, domiciliat/domiciliată în Cluj-Napoca, strada Barițiu nr 4, stare civilă: căsătorită.</w:t>
      </w:r>
    </w:p>
    <w:p>
      <w:pPr>
        <w:spacing w:after="160" w:line="360"/>
        <w:jc w:val="both"/>
      </w:pPr>
      <w:r>
        <w:rPr>
          <w:rFonts w:ascii="Times New Roman" w:cs="Times New Roman" w:eastAsia="Times New Roman" w:hAnsi="Times New Roman"/>
          <w:sz w:val="22"/>
          <w:szCs w:val="22"/>
        </w:rPr>
        <w:t xml:space="preserve">Donatar: Radu Ionescu, identificat/identificată cu C.I. seria CJ nr. 100010, CNP 1800909120050, domiciliat/domiciliată în Cluj-Napoca, strada Napoca nr 1, stare civilă: necăsătorit.</w:t>
      </w:r>
    </w:p>
    <w:p>
      <w:pPr>
        <w:spacing w:after="160" w:line="360"/>
        <w:jc w:val="both"/>
      </w:pPr>
      <w:r>
        <w:rPr>
          <w:rFonts w:ascii="Times New Roman" w:cs="Times New Roman" w:eastAsia="Times New Roman" w:hAnsi="Times New Roman"/>
          <w:b/>
          <w:bCs/>
          <w:sz w:val="22"/>
          <w:szCs w:val="22"/>
        </w:rPr>
        <w:t xml:space="preserve">Capitolul I — Liberalitatea</w:t>
      </w:r>
    </w:p>
    <w:p>
      <w:pPr>
        <w:spacing w:after="160" w:line="360"/>
        <w:jc w:val="both"/>
      </w:pPr>
      <w:r>
        <w:rPr>
          <w:rFonts w:ascii="Times New Roman" w:cs="Times New Roman" w:eastAsia="Times New Roman" w:hAnsi="Times New Roman"/>
          <w:sz w:val="22"/>
          <w:szCs w:val="22"/>
        </w:rPr>
        <w:t xml:space="preserve">Donatorul dăruiește donatarului, care acceptă în același act, imobilul: apartament cu două camere și dependințe, strada Memorandumului nr 28, ap 12, Cluj-Napoca.</w:t>
      </w:r>
    </w:p>
    <w:p>
      <w:pPr>
        <w:spacing w:after="160" w:line="360"/>
        <w:jc w:val="both"/>
      </w:pPr>
      <w:r>
        <w:rPr>
          <w:rFonts w:ascii="Times New Roman" w:cs="Times New Roman" w:eastAsia="Times New Roman" w:hAnsi="Times New Roman"/>
          <w:sz w:val="22"/>
          <w:szCs w:val="22"/>
        </w:rPr>
        <w:t xml:space="preserve">Imobilul este înscris în cartea funciară nr. 678901 a UAT Cluj-Napoca, județul Cluj, număr cadastral 67890-C4, suprafață 52,40 mp.</w:t>
      </w:r>
    </w:p>
    <w:p>
      <w:pPr>
        <w:spacing w:after="160" w:line="360"/>
        <w:jc w:val="both"/>
      </w:pPr>
      <w:r>
        <w:rPr>
          <w:rFonts w:ascii="Times New Roman" w:cs="Times New Roman" w:eastAsia="Times New Roman" w:hAnsi="Times New Roman"/>
          <w:sz w:val="22"/>
          <w:szCs w:val="22"/>
        </w:rPr>
        <w:t xml:space="preserve">Donația se încheie în formă autentică, sub sancțiunea nulității absolute (art. 1011). Acceptarea este expresă și contemporană cu oferta.</w:t>
      </w:r>
    </w:p>
    <w:p>
      <w:pPr>
        <w:spacing w:after="160" w:line="360"/>
        <w:jc w:val="both"/>
      </w:pPr>
      <w:r>
        <w:rPr>
          <w:rFonts w:ascii="Times New Roman" w:cs="Times New Roman" w:eastAsia="Times New Roman" w:hAnsi="Times New Roman"/>
          <w:sz w:val="22"/>
          <w:szCs w:val="22"/>
        </w:rPr>
        <w:t xml:space="preserve">Actul este cu titlu gratuit. Dacă se constată un preț, actul nu mai este donație și se recalifică.</w:t>
      </w:r>
    </w:p>
    <w:p>
      <w:pPr>
        <w:spacing w:after="160" w:line="360"/>
        <w:jc w:val="both"/>
      </w:pPr>
      <w:r>
        <w:rPr>
          <w:rFonts w:ascii="Times New Roman" w:cs="Times New Roman" w:eastAsia="Times New Roman" w:hAnsi="Times New Roman"/>
          <w:b/>
          <w:bCs/>
          <w:sz w:val="22"/>
          <w:szCs w:val="22"/>
        </w:rPr>
        <w:t xml:space="preserve">Capitolul II — Rezervă, raport și sarcini</w:t>
      </w:r>
    </w:p>
    <w:p>
      <w:pPr>
        <w:spacing w:after="160" w:line="360"/>
        <w:jc w:val="both"/>
      </w:pPr>
      <w:r>
        <w:rPr>
          <w:rFonts w:ascii="Times New Roman" w:cs="Times New Roman" w:eastAsia="Times New Roman" w:hAnsi="Times New Roman"/>
          <w:sz w:val="22"/>
          <w:szCs w:val="22"/>
        </w:rPr>
        <w:t xml:space="preserve">Donatorul este înștiințat că donația se adaugă la masa de calcul a rezervei și poate fi redusă dacă încalcă rezerva soțului, a descendenților sau a părinților (art. 1086–1091). Între descendenți poate fi și supusă raportului.</w:t>
      </w:r>
    </w:p>
    <w:p>
      <w:pPr>
        <w:spacing w:after="160" w:line="360"/>
        <w:jc w:val="both"/>
      </w:pPr>
      <w:r>
        <w:rPr>
          <w:rFonts w:ascii="Times New Roman" w:cs="Times New Roman" w:eastAsia="Times New Roman" w:hAnsi="Times New Roman"/>
          <w:sz w:val="22"/>
          <w:szCs w:val="22"/>
        </w:rPr>
        <w:t xml:space="preserve">Sarcina convenită: donație pură și simplă, fără sarcină.</w:t>
      </w:r>
    </w:p>
    <w:p>
      <w:pPr>
        <w:spacing w:after="160" w:line="360"/>
        <w:jc w:val="both"/>
      </w:pPr>
      <w:r>
        <w:rPr>
          <w:rFonts w:ascii="Times New Roman" w:cs="Times New Roman" w:eastAsia="Times New Roman" w:hAnsi="Times New Roman"/>
          <w:sz w:val="22"/>
          <w:szCs w:val="22"/>
        </w:rPr>
        <w:t xml:space="preserve">O sarcină care epuizează liberalitatea poate schimba natura actului.</w:t>
      </w:r>
    </w:p>
    <w:p>
      <w:pPr>
        <w:spacing w:after="160" w:line="360"/>
        <w:jc w:val="both"/>
      </w:pPr>
      <w:r>
        <w:rPr>
          <w:rFonts w:ascii="Times New Roman" w:cs="Times New Roman" w:eastAsia="Times New Roman" w:hAnsi="Times New Roman"/>
          <w:sz w:val="22"/>
          <w:szCs w:val="22"/>
        </w:rPr>
        <w:t xml:space="preserve">Donatorul declară că bunul este proprietatea lui, liber de sarcini nedenunțate, și garantează pentru evicțiune în limitele legii. Dreptul se intabulează pe numele donatarului.</w:t>
      </w:r>
    </w:p>
    <w:p>
      <w:pPr>
        <w:spacing w:after="160" w:line="360"/>
        <w:jc w:val="both"/>
      </w:pPr>
      <w:r>
        <w:rPr>
          <w:rFonts w:ascii="Times New Roman" w:cs="Times New Roman" w:eastAsia="Times New Roman" w:hAnsi="Times New Roman"/>
          <w:b/>
          <w:bCs/>
          <w:sz w:val="22"/>
          <w:szCs w:val="22"/>
        </w:rPr>
        <w:t xml:space="preserve">Capitolul III — Impozit</w:t>
      </w:r>
    </w:p>
    <w:p>
      <w:pPr>
        <w:spacing w:after="160" w:line="360"/>
        <w:jc w:val="both"/>
      </w:pPr>
      <w:r>
        <w:rPr>
          <w:rFonts w:ascii="Times New Roman" w:cs="Times New Roman" w:eastAsia="Times New Roman" w:hAnsi="Times New Roman"/>
          <w:sz w:val="22"/>
          <w:szCs w:val="22"/>
        </w:rPr>
        <w:t xml:space="preserve">Părțile declară că nu sunt în cazul de scutire. Transferul poate datora impozitul de la art. 111, pe regulile deținerii și ale studiului de piață. Notarul nu aplică scutirea pe simpla declarație neverificată.</w:t>
      </w:r>
    </w:p>
    <w:p>
      <w:pPr>
        <w:spacing w:after="160" w:line="360"/>
        <w:jc w:val="both"/>
      </w:pPr>
      <w:r>
        <w:rPr>
          <w:rFonts w:ascii="Times New Roman" w:cs="Times New Roman" w:eastAsia="Times New Roman" w:hAnsi="Times New Roman"/>
          <w:sz w:val="22"/>
          <w:szCs w:val="22"/>
        </w:rPr>
        <w:t xml:space="preserve">Proiect pentru autentificare. Acceptarea minorului lipsit de capacitate de exercițiu cere încuviințarea instanței de tutelă.</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1011. Donația se încheie în formă autentică, sub sancțiunea nulității absolute.</w:t>
      </w:r>
    </w:p>
    <w:p>
      <w:pPr>
        <w:spacing w:after="160" w:line="360"/>
        <w:jc w:val="both"/>
      </w:pPr>
      <w:r>
        <w:rPr>
          <w:rFonts w:ascii="Times New Roman" w:cs="Times New Roman" w:eastAsia="Times New Roman" w:hAnsi="Times New Roman"/>
          <w:sz w:val="22"/>
          <w:szCs w:val="22"/>
        </w:rPr>
        <w:t xml:space="preserve">Codul civil, art. 985 și urm. și art. 1091. Donația este liberalitate și poate fi raportată sau redusă.</w:t>
      </w:r>
    </w:p>
    <w:p>
      <w:pPr>
        <w:spacing w:after="160" w:line="360"/>
        <w:jc w:val="both"/>
      </w:pPr>
      <w:r>
        <w:rPr>
          <w:rFonts w:ascii="Times New Roman" w:cs="Times New Roman" w:eastAsia="Times New Roman" w:hAnsi="Times New Roman"/>
          <w:sz w:val="22"/>
          <w:szCs w:val="22"/>
        </w:rPr>
        <w:t xml:space="preserve">Codul fiscal, art. 111 alin. (2). Scutire la donația între soți și între rude sau afini până la gradul III inclusiv.</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2026-10-14T13:55:26.365Z</dcterms:created>
  <dcterms:modified xsi:type="dcterms:W3CDTF">2026-10-14T13:55:26.365Z</dcterms:modified>
</cp:coreProperties>
</file>

<file path=docProps/custom.xml><?xml version="1.0" encoding="utf-8"?>
<Properties xmlns="http://schemas.openxmlformats.org/officeDocument/2006/custom-properties" xmlns:vt="http://schemas.openxmlformats.org/officeDocument/2006/docPropsVTypes"/>
</file>