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PROCURĂ</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Mandant: Mihai Pop, identificat/identificată cu C.I. seria CJ nr. 100011, CNP 1821105130039, domiciliat/domiciliată în Cluj-Napoca, strada Clinicilor nr 8, stare civilă: căsătorit.</w:t>
      </w:r>
    </w:p>
    <w:p>
      <w:pPr>
        <w:spacing w:after="160" w:line="360"/>
        <w:jc w:val="both"/>
      </w:pPr>
      <w:r>
        <w:rPr>
          <w:rFonts w:ascii="Times New Roman" w:cs="Times New Roman" w:eastAsia="Times New Roman" w:hAnsi="Times New Roman"/>
          <w:sz w:val="22"/>
          <w:szCs w:val="22"/>
        </w:rPr>
        <w:t xml:space="preserve">Mandatar: Radu Ionescu, CNP 1800909120050, domiciliat în Cluj-Napoca, strada Napoca nr 1.</w:t>
      </w:r>
    </w:p>
    <w:p>
      <w:pPr>
        <w:spacing w:after="160" w:line="360"/>
        <w:jc w:val="both"/>
      </w:pPr>
      <w:r>
        <w:rPr>
          <w:rFonts w:ascii="Times New Roman" w:cs="Times New Roman" w:eastAsia="Times New Roman" w:hAnsi="Times New Roman"/>
          <w:sz w:val="22"/>
          <w:szCs w:val="22"/>
        </w:rPr>
        <w:t xml:space="preserve">Mandatarul nu trebuie să fie de față la autentificare.</w:t>
      </w:r>
    </w:p>
    <w:p>
      <w:pPr>
        <w:spacing w:after="160" w:line="360"/>
        <w:jc w:val="both"/>
      </w:pPr>
      <w:r>
        <w:rPr>
          <w:rFonts w:ascii="Times New Roman" w:cs="Times New Roman" w:eastAsia="Times New Roman" w:hAnsi="Times New Roman"/>
          <w:b/>
          <w:bCs/>
          <w:sz w:val="22"/>
          <w:szCs w:val="22"/>
        </w:rPr>
        <w:t xml:space="preserve">Împuternicirea</w:t>
      </w:r>
    </w:p>
    <w:p>
      <w:pPr>
        <w:spacing w:after="160" w:line="360"/>
        <w:jc w:val="both"/>
      </w:pPr>
      <w:r>
        <w:rPr>
          <w:rFonts w:ascii="Times New Roman" w:cs="Times New Roman" w:eastAsia="Times New Roman" w:hAnsi="Times New Roman"/>
          <w:sz w:val="22"/>
          <w:szCs w:val="22"/>
        </w:rPr>
        <w:t xml:space="preserve">Mandantul împuternicește pe mandatar să: depună la primărie cererea de racordare și să ridice certificatul de atestare fiscală.</w:t>
      </w:r>
    </w:p>
    <w:p>
      <w:pPr>
        <w:spacing w:after="160" w:line="360"/>
        <w:jc w:val="both"/>
      </w:pPr>
      <w:r>
        <w:rPr>
          <w:rFonts w:ascii="Times New Roman" w:cs="Times New Roman" w:eastAsia="Times New Roman" w:hAnsi="Times New Roman"/>
          <w:sz w:val="22"/>
          <w:szCs w:val="22"/>
        </w:rPr>
        <w:t xml:space="preserve">Mandatul este cu titlu gratuit, dacă nu s-a scris un onorariu între ei. Mandatarul nu poate depăși limitele scrise aici.</w:t>
      </w:r>
    </w:p>
    <w:p>
      <w:pPr>
        <w:spacing w:after="160" w:line="360"/>
        <w:jc w:val="both"/>
      </w:pPr>
      <w:r>
        <w:rPr>
          <w:rFonts w:ascii="Times New Roman" w:cs="Times New Roman" w:eastAsia="Times New Roman" w:hAnsi="Times New Roman"/>
          <w:sz w:val="22"/>
          <w:szCs w:val="22"/>
        </w:rPr>
        <w:t xml:space="preserve">Pentru vânzarea, donația, ipoteca sau un alt act căruia legea îi cere formă autentică, prezenta procură se autentifică (art. 2013). O procură sub semnătură privată nu ajunge.</w:t>
      </w:r>
    </w:p>
    <w:p>
      <w:pPr>
        <w:spacing w:after="160" w:line="360"/>
        <w:jc w:val="both"/>
      </w:pPr>
      <w:r>
        <w:rPr>
          <w:rFonts w:ascii="Times New Roman" w:cs="Times New Roman" w:eastAsia="Times New Roman" w:hAnsi="Times New Roman"/>
          <w:sz w:val="22"/>
          <w:szCs w:val="22"/>
        </w:rPr>
        <w:t xml:space="preserve">Durata: un an de la data autentificării. Revocarea se aduce la cunoștința mandatarului și, când procura a fost folosită la o autoritate, și acelei autorități.</w:t>
      </w:r>
    </w:p>
    <w:p>
      <w:pPr>
        <w:spacing w:after="160" w:line="360"/>
        <w:jc w:val="both"/>
      </w:pPr>
      <w:r>
        <w:rPr>
          <w:rFonts w:ascii="Times New Roman" w:cs="Times New Roman" w:eastAsia="Times New Roman" w:hAnsi="Times New Roman"/>
          <w:sz w:val="22"/>
          <w:szCs w:val="22"/>
        </w:rPr>
        <w:t xml:space="preserve">Onorariul minimal pentru procura de reprezentare este 100 lei, indiferent de numărul mandanților și al mandatarilor (anexa nr. 1 pct. 5.1 și art. 11 alin. (5) din norme).</w:t>
      </w:r>
    </w:p>
    <w:p>
      <w:pPr>
        <w:spacing w:after="160" w:line="360"/>
        <w:jc w:val="both"/>
      </w:pPr>
      <w:r>
        <w:rPr>
          <w:rFonts w:ascii="Times New Roman" w:cs="Times New Roman" w:eastAsia="Times New Roman" w:hAnsi="Times New Roman"/>
          <w:sz w:val="22"/>
          <w:szCs w:val="22"/>
        </w:rPr>
        <w:t xml:space="preserve">Mandantul declară că a citit împuternicirea și că limitele ei sunt cele scrise, nu cele discutate pe lângă act.</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2009 și art. 2013. Mandatul pentru un act autentic se dă în forma cerută acelui act.</w:t>
      </w:r>
    </w:p>
    <w:p>
      <w:pPr>
        <w:spacing w:after="160" w:line="360"/>
        <w:jc w:val="both"/>
      </w:pPr>
      <w:r>
        <w:rPr>
          <w:rFonts w:ascii="Times New Roman" w:cs="Times New Roman" w:eastAsia="Times New Roman" w:hAnsi="Times New Roman"/>
          <w:sz w:val="22"/>
          <w:szCs w:val="22"/>
        </w:rPr>
        <w:t xml:space="preserve">OMJ nr. 177/C/2024, anexa nr. 1 pct. 5. Minimul este 100 lei pentru procura de reprezentare și 8 lei pentru pensie sau alocație.</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2026-10-14T13:55:26.624Z</dcterms:created>
  <dcterms:modified xsi:type="dcterms:W3CDTF">2026-10-14T13:55:26.624Z</dcterms:modified>
</cp:coreProperties>
</file>

<file path=docProps/custom.xml><?xml version="1.0" encoding="utf-8"?>
<Properties xmlns="http://schemas.openxmlformats.org/officeDocument/2006/custom-properties" xmlns:vt="http://schemas.openxmlformats.org/officeDocument/2006/docPropsVTypes"/>
</file>