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360"/>
        <w:jc w:val="center"/>
      </w:pPr>
      <w:r>
        <w:rPr>
          <w:rFonts w:ascii="Times New Roman" w:cs="Times New Roman" w:eastAsia="Times New Roman" w:hAnsi="Times New Roman"/>
          <w:b/>
          <w:bCs/>
          <w:sz w:val="22"/>
          <w:szCs w:val="22"/>
        </w:rPr>
        <w:t xml:space="preserve">ROMÂNIA</w:t>
      </w:r>
    </w:p>
    <w:p>
      <w:pPr>
        <w:spacing w:after="160" w:line="360"/>
        <w:jc w:val="center"/>
      </w:pPr>
      <w:r>
        <w:rPr>
          <w:rFonts w:ascii="Times New Roman" w:cs="Times New Roman" w:eastAsia="Times New Roman" w:hAnsi="Times New Roman"/>
          <w:sz w:val="22"/>
          <w:szCs w:val="22"/>
        </w:rPr>
        <w:t xml:space="preserve">UNIUNEA NAȚIONALĂ A NOTARILOR PUBLICI DIN ROMÂNIA</w:t>
      </w:r>
    </w:p>
    <w:p>
      <w:pPr>
        <w:spacing w:after="160" w:line="360"/>
        <w:jc w:val="center"/>
      </w:pPr>
      <w:r>
        <w:rPr>
          <w:rFonts w:ascii="Times New Roman" w:cs="Times New Roman" w:eastAsia="Times New Roman" w:hAnsi="Times New Roman"/>
          <w:sz w:val="22"/>
          <w:szCs w:val="22"/>
        </w:rPr>
        <w:t xml:space="preserve">Camera Notarilor Publici Cluj</w:t>
      </w:r>
    </w:p>
    <w:p>
      <w:pPr>
        <w:spacing w:after="160" w:line="360"/>
        <w:jc w:val="center"/>
      </w:pPr>
      <w:r>
        <w:rPr>
          <w:rFonts w:ascii="Times New Roman" w:cs="Times New Roman" w:eastAsia="Times New Roman" w:hAnsi="Times New Roman"/>
          <w:sz w:val="22"/>
          <w:szCs w:val="22"/>
        </w:rPr>
        <w:t xml:space="preserve">BIROUL NOTARULUI PUBLIC Ionescu Andrei</w:t>
      </w:r>
    </w:p>
    <w:p>
      <w:pPr>
        <w:spacing w:after="160" w:line="360"/>
        <w:jc w:val="center"/>
      </w:pPr>
      <w:r>
        <w:rPr>
          <w:rFonts w:ascii="Times New Roman" w:cs="Times New Roman" w:eastAsia="Times New Roman" w:hAnsi="Times New Roman"/>
          <w:sz w:val="22"/>
          <w:szCs w:val="22"/>
        </w:rPr>
        <w:t xml:space="preserve">Sediul: Cluj-Napoca, str. Memorandumului nr. 28</w:t>
      </w:r>
    </w:p>
    <w:p>
      <w:pPr>
        <w:spacing w:after="160" w:line="360"/>
        <w:jc w:val="center"/>
      </w:pPr>
      <w:r>
        <w:rPr>
          <w:rFonts w:ascii="Times New Roman" w:cs="Times New Roman" w:eastAsia="Times New Roman" w:hAnsi="Times New Roman"/>
          <w:sz w:val="22"/>
          <w:szCs w:val="22"/>
        </w:rPr>
        <w:t xml:space="preserve">Licența de funcționare nr. 145/12.03.2019</w:t>
      </w:r>
    </w:p>
    <w:p>
      <w:pPr>
        <w:spacing w:after="160" w:line="360"/>
        <w:jc w:val="center"/>
      </w:pPr>
      <w:r>
        <w:rPr>
          <w:rFonts w:ascii="Times New Roman" w:cs="Times New Roman" w:eastAsia="Times New Roman" w:hAnsi="Times New Roman"/>
          <w:sz w:val="22"/>
          <w:szCs w:val="22"/>
        </w:rPr>
        <w:t xml:space="preserve">Circumscripția: Circumscripția Tribunalului Cluj</w:t>
      </w:r>
    </w:p>
    <w:p>
      <w:pPr>
        <w:spacing w:after="160" w:line="360"/>
        <w:jc w:val="center"/>
      </w:pPr>
      <w:r>
        <w:rPr>
          <w:rFonts w:ascii="Times New Roman" w:cs="Times New Roman" w:eastAsia="Times New Roman" w:hAnsi="Times New Roman"/>
          <w:sz w:val="22"/>
          <w:szCs w:val="22"/>
        </w:rPr>
        <w:t xml:space="preserve"/>
      </w:r>
    </w:p>
    <w:p>
      <w:pPr>
        <w:spacing w:after="160" w:line="360"/>
        <w:jc w:val="center"/>
      </w:pPr>
      <w:r>
        <w:rPr>
          <w:rFonts w:ascii="Times New Roman" w:cs="Times New Roman" w:eastAsia="Times New Roman" w:hAnsi="Times New Roman"/>
          <w:b/>
          <w:bCs/>
          <w:sz w:val="22"/>
          <w:szCs w:val="22"/>
        </w:rPr>
        <w:t xml:space="preserve">PROIECT DE LUCRU — NU ESTE ÎNSCRIS AUTENTIC</w:t>
      </w:r>
    </w:p>
    <w:p>
      <w:pPr>
        <w:spacing w:after="160" w:line="360"/>
        <w:jc w:val="center"/>
      </w:pPr>
      <w:r>
        <w:rPr>
          <w:rFonts w:ascii="Times New Roman" w:cs="Times New Roman" w:eastAsia="Times New Roman" w:hAnsi="Times New Roman"/>
          <w:sz w:val="22"/>
          <w:szCs w:val="22"/>
        </w:rPr>
        <w:t xml:space="preserve">Document de asistență, generat local. Nu ține loc de consimțământ, nu are dată certă și nu se înscrie în cartea funciară. Notarul instrumentator verifică identitatea, capacitatea, consimțământul, proba dreptului și forma consolidată a legii în ziua actului.</w:t>
      </w:r>
    </w:p>
    <w:p>
      <w:pPr>
        <w:pStyle w:val="Heading2"/>
        <w:spacing w:after="160" w:line="360"/>
        <w:jc w:val="center"/>
      </w:pPr>
      <w:r>
        <w:rPr>
          <w:rFonts w:ascii="Times New Roman" w:cs="Times New Roman" w:eastAsia="Times New Roman" w:hAnsi="Times New Roman"/>
          <w:b/>
          <w:bCs/>
          <w:sz w:val="24"/>
          <w:szCs w:val="24"/>
        </w:rPr>
        <w:t xml:space="preserve">PROCURĂ</w:t>
      </w:r>
    </w:p>
    <w:p>
      <w:pPr>
        <w:spacing w:after="160" w:line="360"/>
        <w:jc w:val="both"/>
      </w:pPr>
      <w:r>
        <w:rPr>
          <w:rFonts w:ascii="Times New Roman" w:cs="Times New Roman" w:eastAsia="Times New Roman" w:hAnsi="Times New Roman"/>
          <w:sz w:val="22"/>
          <w:szCs w:val="22"/>
        </w:rPr>
        <w:t xml:space="preserve">Astăzi, 14 octombrie 2026, în municipiul Cluj-Napoca.</w:t>
      </w:r>
    </w:p>
    <w:p>
      <w:pPr>
        <w:spacing w:after="160" w:line="360"/>
        <w:jc w:val="both"/>
      </w:pPr>
      <w:r>
        <w:rPr>
          <w:rFonts w:ascii="Times New Roman" w:cs="Times New Roman" w:eastAsia="Times New Roman" w:hAnsi="Times New Roman"/>
          <w:sz w:val="22"/>
          <w:szCs w:val="22"/>
        </w:rPr>
        <w:t xml:space="preserve">Mandant: Andrei Mureșan, identificat/identificată cu C.I. seria CJ nr. 100013, CNP 1750314120012, domiciliat/domiciliată în Cluj-Napoca, strada Memorandumului nr 28, stare civilă: căsătorit.</w:t>
      </w:r>
    </w:p>
    <w:p>
      <w:pPr>
        <w:spacing w:after="160" w:line="360"/>
        <w:jc w:val="both"/>
      </w:pPr>
      <w:r>
        <w:rPr>
          <w:rFonts w:ascii="Times New Roman" w:cs="Times New Roman" w:eastAsia="Times New Roman" w:hAnsi="Times New Roman"/>
          <w:sz w:val="22"/>
          <w:szCs w:val="22"/>
        </w:rPr>
        <w:t xml:space="preserve">Mandatar: Radu Ionescu, CNP 1800909120050, domiciliat în Cluj-Napoca, strada Napoca nr 1.</w:t>
      </w:r>
    </w:p>
    <w:p>
      <w:pPr>
        <w:spacing w:after="160" w:line="360"/>
        <w:jc w:val="both"/>
      </w:pPr>
      <w:r>
        <w:rPr>
          <w:rFonts w:ascii="Times New Roman" w:cs="Times New Roman" w:eastAsia="Times New Roman" w:hAnsi="Times New Roman"/>
          <w:sz w:val="22"/>
          <w:szCs w:val="22"/>
        </w:rPr>
        <w:t xml:space="preserve">Mandatarul nu trebuie să fie de față la autentificare.</w:t>
      </w:r>
    </w:p>
    <w:p>
      <w:pPr>
        <w:spacing w:after="160" w:line="360"/>
        <w:jc w:val="both"/>
      </w:pPr>
      <w:r>
        <w:rPr>
          <w:rFonts w:ascii="Times New Roman" w:cs="Times New Roman" w:eastAsia="Times New Roman" w:hAnsi="Times New Roman"/>
          <w:b/>
          <w:bCs/>
          <w:sz w:val="22"/>
          <w:szCs w:val="22"/>
        </w:rPr>
        <w:t xml:space="preserve">Împuternicirea</w:t>
      </w:r>
    </w:p>
    <w:p>
      <w:pPr>
        <w:spacing w:after="160" w:line="360"/>
        <w:jc w:val="both"/>
      </w:pPr>
      <w:r>
        <w:rPr>
          <w:rFonts w:ascii="Times New Roman" w:cs="Times New Roman" w:eastAsia="Times New Roman" w:hAnsi="Times New Roman"/>
          <w:sz w:val="22"/>
          <w:szCs w:val="22"/>
        </w:rPr>
        <w:t xml:space="preserve">Mandantul împuternicește pe mandatar să: semneze actul autentic de înstrăinare a apartamentului din Cluj-Napoca.</w:t>
      </w:r>
    </w:p>
    <w:p>
      <w:pPr>
        <w:spacing w:after="160" w:line="360"/>
        <w:jc w:val="both"/>
      </w:pPr>
      <w:r>
        <w:rPr>
          <w:rFonts w:ascii="Times New Roman" w:cs="Times New Roman" w:eastAsia="Times New Roman" w:hAnsi="Times New Roman"/>
          <w:sz w:val="22"/>
          <w:szCs w:val="22"/>
        </w:rPr>
        <w:t xml:space="preserve">Mandatul este cu titlu gratuit, dacă nu s-a scris un onorariu între ei. Mandatarul nu poate depăși limitele scrise aici.</w:t>
      </w:r>
    </w:p>
    <w:p>
      <w:pPr>
        <w:spacing w:after="160" w:line="360"/>
        <w:jc w:val="both"/>
      </w:pPr>
      <w:r>
        <w:rPr>
          <w:rFonts w:ascii="Times New Roman" w:cs="Times New Roman" w:eastAsia="Times New Roman" w:hAnsi="Times New Roman"/>
          <w:sz w:val="22"/>
          <w:szCs w:val="22"/>
        </w:rPr>
        <w:t xml:space="preserve">Pentru vânzarea, donația, ipoteca sau un alt act căruia legea îi cere formă autentică, prezenta procură se autentifică (art. 2013). O procură sub semnătură privată nu ajunge.</w:t>
      </w:r>
    </w:p>
    <w:p>
      <w:pPr>
        <w:spacing w:after="160" w:line="360"/>
        <w:jc w:val="both"/>
      </w:pPr>
      <w:r>
        <w:rPr>
          <w:rFonts w:ascii="Times New Roman" w:cs="Times New Roman" w:eastAsia="Times New Roman" w:hAnsi="Times New Roman"/>
          <w:sz w:val="22"/>
          <w:szCs w:val="22"/>
        </w:rPr>
        <w:t xml:space="preserve">Durata: până la semnarea actului sau până la revocare. Revocarea se aduce la cunoștința mandatarului și, când procura a fost folosită la o autoritate, și acelei autorități.</w:t>
      </w:r>
    </w:p>
    <w:p>
      <w:pPr>
        <w:spacing w:after="160" w:line="360"/>
        <w:jc w:val="both"/>
      </w:pPr>
      <w:r>
        <w:rPr>
          <w:rFonts w:ascii="Times New Roman" w:cs="Times New Roman" w:eastAsia="Times New Roman" w:hAnsi="Times New Roman"/>
          <w:sz w:val="22"/>
          <w:szCs w:val="22"/>
        </w:rPr>
        <w:t xml:space="preserve">Mandantul constată că mandatarul încasează prețul. Potrivit art. 11 alin. (6) din normele de onorarii, când prin procură se constată că prețul a fost deja încasat de mandatar, onorariul minimal poate fi cel din anexa nr. 2 pct. XIV, nu suma fixă de 100 lei. Excepția este mandatul dat ca mandatarul să contracteze cu sine însuși. Notarul alege temeiul după faptele din original.</w:t>
      </w:r>
    </w:p>
    <w:p>
      <w:pPr>
        <w:spacing w:after="160" w:line="360"/>
        <w:jc w:val="both"/>
      </w:pPr>
      <w:r>
        <w:rPr>
          <w:rFonts w:ascii="Times New Roman" w:cs="Times New Roman" w:eastAsia="Times New Roman" w:hAnsi="Times New Roman"/>
          <w:sz w:val="22"/>
          <w:szCs w:val="22"/>
        </w:rPr>
        <w:t xml:space="preserve">Mandantul declară că a citit împuternicirea și că limitele ei sunt cele scrise, nu cele discutate pe lângă act.</w:t>
      </w:r>
    </w:p>
    <w:p>
      <w:pPr>
        <w:spacing w:after="160" w:line="360"/>
        <w:jc w:val="both"/>
      </w:pPr>
      <w:r>
        <w:rPr>
          <w:rFonts w:ascii="Times New Roman" w:cs="Times New Roman" w:eastAsia="Times New Roman" w:hAnsi="Times New Roman"/>
          <w:b/>
          <w:bCs/>
          <w:sz w:val="22"/>
          <w:szCs w:val="22"/>
        </w:rPr>
        <w:t xml:space="preserve">Temeiuri reținute în proiect</w:t>
      </w:r>
    </w:p>
    <w:p>
      <w:pPr>
        <w:spacing w:after="160" w:line="360"/>
        <w:jc w:val="both"/>
      </w:pPr>
      <w:r>
        <w:rPr>
          <w:rFonts w:ascii="Times New Roman" w:cs="Times New Roman" w:eastAsia="Times New Roman" w:hAnsi="Times New Roman"/>
          <w:sz w:val="22"/>
          <w:szCs w:val="22"/>
        </w:rPr>
        <w:t xml:space="preserve">Codul civil, art. 2009 și art. 2013. Mandatul pentru un act autentic se dă în forma cerută acelui act.</w:t>
      </w:r>
    </w:p>
    <w:p>
      <w:pPr>
        <w:spacing w:after="160" w:line="360"/>
        <w:jc w:val="both"/>
      </w:pPr>
      <w:r>
        <w:rPr>
          <w:rFonts w:ascii="Times New Roman" w:cs="Times New Roman" w:eastAsia="Times New Roman" w:hAnsi="Times New Roman"/>
          <w:sz w:val="22"/>
          <w:szCs w:val="22"/>
        </w:rPr>
        <w:t xml:space="preserve">OMJ nr. 177/C/2024, anexa nr. 1 pct. 5. Minimul este 100 lei pentru procura de reprezentare și 8 lei pentru pensie sau alocație.</w:t>
      </w:r>
    </w:p>
    <w:sectPr>
      <w:pgSz w:w="11906" w:h="16838" w:orient="portrait"/>
      <w:pgMar w:top="720" w:right="850" w:bottom="720" w:left="8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2026-10-14T13:55:27.055Z</dcterms:created>
  <dcterms:modified xsi:type="dcterms:W3CDTF">2026-10-14T13:55:27.055Z</dcterms:modified>
</cp:coreProperties>
</file>

<file path=docProps/custom.xml><?xml version="1.0" encoding="utf-8"?>
<Properties xmlns="http://schemas.openxmlformats.org/officeDocument/2006/custom-properties" xmlns:vt="http://schemas.openxmlformats.org/officeDocument/2006/docPropsVTypes"/>
</file>