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CONTRACT DE ÎNTREȚINERE</w:t>
      </w:r>
    </w:p>
    <w:p>
      <w:pPr>
        <w:spacing w:after="160" w:line="360"/>
        <w:jc w:val="both"/>
      </w:pPr>
      <w:r>
        <w:rPr>
          <w:rFonts w:ascii="Times New Roman" w:cs="Times New Roman" w:eastAsia="Times New Roman" w:hAnsi="Times New Roman"/>
          <w:sz w:val="22"/>
          <w:szCs w:val="22"/>
        </w:rPr>
        <w:t xml:space="preserve">Astăzi, 14 octombrie 2026, în municipiul Cluj-Napoca.</w:t>
      </w:r>
    </w:p>
    <w:p>
      <w:pPr>
        <w:spacing w:after="160" w:line="360"/>
        <w:jc w:val="both"/>
      </w:pPr>
      <w:r>
        <w:rPr>
          <w:rFonts w:ascii="Times New Roman" w:cs="Times New Roman" w:eastAsia="Times New Roman" w:hAnsi="Times New Roman"/>
          <w:sz w:val="22"/>
          <w:szCs w:val="22"/>
        </w:rPr>
        <w:t xml:space="preserve">Creditorul întreținerii: Vera Mureșan, identificat/identificată cu C.I. seria CJ nr. 100018, CNP 2710625120168, domiciliat/domiciliată în Cluj-Napoca, strada Barițiu nr 4, stare civilă: căsătorită.</w:t>
      </w:r>
    </w:p>
    <w:p>
      <w:pPr>
        <w:spacing w:after="160" w:line="360"/>
        <w:jc w:val="both"/>
      </w:pPr>
      <w:r>
        <w:rPr>
          <w:rFonts w:ascii="Times New Roman" w:cs="Times New Roman" w:eastAsia="Times New Roman" w:hAnsi="Times New Roman"/>
          <w:sz w:val="22"/>
          <w:szCs w:val="22"/>
        </w:rPr>
        <w:t xml:space="preserve">Debitorul întreținerii: Sorin Mureșan, identificat/identificată cu C.I. seria CJ nr. 100019, CNP 1770707120091, domiciliat/domiciliată în Cluj-Napoca, strada Barițiu nr 4, stare civilă: necăsătorit.</w:t>
      </w:r>
    </w:p>
    <w:p>
      <w:pPr>
        <w:spacing w:after="160" w:line="360"/>
        <w:jc w:val="both"/>
      </w:pPr>
      <w:r>
        <w:rPr>
          <w:rFonts w:ascii="Times New Roman" w:cs="Times New Roman" w:eastAsia="Times New Roman" w:hAnsi="Times New Roman"/>
          <w:b/>
          <w:bCs/>
          <w:sz w:val="22"/>
          <w:szCs w:val="22"/>
        </w:rPr>
        <w:t xml:space="preserve">Schimbul dintre bun și întreținere</w:t>
      </w:r>
    </w:p>
    <w:p>
      <w:pPr>
        <w:spacing w:after="160" w:line="360"/>
        <w:jc w:val="both"/>
      </w:pPr>
      <w:r>
        <w:rPr>
          <w:rFonts w:ascii="Times New Roman" w:cs="Times New Roman" w:eastAsia="Times New Roman" w:hAnsi="Times New Roman"/>
          <w:sz w:val="22"/>
          <w:szCs w:val="22"/>
        </w:rPr>
        <w:t xml:space="preserve">Creditorul transmite debitorului proprietatea asupra imobilului: apartament cu două camere și dependințe, strada Memorandumului nr 28, ap 12, Cluj-Napoca.</w:t>
      </w:r>
    </w:p>
    <w:p>
      <w:pPr>
        <w:spacing w:after="160" w:line="360"/>
        <w:jc w:val="both"/>
      </w:pPr>
      <w:r>
        <w:rPr>
          <w:rFonts w:ascii="Times New Roman" w:cs="Times New Roman" w:eastAsia="Times New Roman" w:hAnsi="Times New Roman"/>
          <w:sz w:val="22"/>
          <w:szCs w:val="22"/>
        </w:rPr>
        <w:t xml:space="preserve">Imobilul este identificat cu CF 901234, cadastral 90123-C6, UAT Cluj-Napoca, județul Cluj, suprafață 52,40 mp.</w:t>
      </w:r>
    </w:p>
    <w:p>
      <w:pPr>
        <w:spacing w:after="160" w:line="360"/>
        <w:jc w:val="both"/>
      </w:pPr>
      <w:r>
        <w:rPr>
          <w:rFonts w:ascii="Times New Roman" w:cs="Times New Roman" w:eastAsia="Times New Roman" w:hAnsi="Times New Roman"/>
          <w:sz w:val="22"/>
          <w:szCs w:val="22"/>
        </w:rPr>
        <w:t xml:space="preserve">În schimb, debitorul se obligă să asigure întreținerea, constând în: hrană zilnică, îngrijire medicală și plata utilităților locuinței.</w:t>
      </w:r>
    </w:p>
    <w:p>
      <w:pPr>
        <w:spacing w:after="160" w:line="360"/>
        <w:jc w:val="both"/>
      </w:pPr>
      <w:r>
        <w:rPr>
          <w:rFonts w:ascii="Times New Roman" w:cs="Times New Roman" w:eastAsia="Times New Roman" w:hAnsi="Times New Roman"/>
          <w:sz w:val="22"/>
          <w:szCs w:val="22"/>
        </w:rPr>
        <w:t xml:space="preserve">Obligația este intuitu personae și se execută pe toată durata vieții creditorului, dacă nu s-a limitat altfel în original.</w:t>
      </w:r>
    </w:p>
    <w:p>
      <w:pPr>
        <w:spacing w:after="160" w:line="360"/>
        <w:jc w:val="both"/>
      </w:pPr>
      <w:r>
        <w:rPr>
          <w:rFonts w:ascii="Times New Roman" w:cs="Times New Roman" w:eastAsia="Times New Roman" w:hAnsi="Times New Roman"/>
          <w:sz w:val="22"/>
          <w:szCs w:val="22"/>
        </w:rPr>
        <w:t xml:space="preserve">Contractul nu este donație. Scutirea de la art. 111 alin. (2) pentru donațiile între soți și rude apropiate nu se aplică. Transmiterea imobilului datorează impozitul de 3% sau 1%, după data dobândirii 1 septembrie 2016 și după valoarea avută în vedere de norme, nu după un preț inexistent.</w:t>
      </w:r>
    </w:p>
    <w:p>
      <w:pPr>
        <w:spacing w:after="160" w:line="360"/>
        <w:jc w:val="both"/>
      </w:pPr>
      <w:r>
        <w:rPr>
          <w:rFonts w:ascii="Times New Roman" w:cs="Times New Roman" w:eastAsia="Times New Roman" w:hAnsi="Times New Roman"/>
          <w:sz w:val="22"/>
          <w:szCs w:val="22"/>
        </w:rPr>
        <w:t xml:space="preserve">Neexecutarea întreținerii poate duce la rezoluțiune, în condițiile legii și ale clauzelor din original. Până la rezoluțiune, dreptul se intabulează pe numele debitorului, iar creditorul poate cere notarea sau constituirea unei garanții, dacă așa se convine.</w:t>
      </w:r>
    </w:p>
    <w:p>
      <w:pPr>
        <w:spacing w:after="160" w:line="360"/>
        <w:jc w:val="both"/>
      </w:pPr>
      <w:r>
        <w:rPr>
          <w:rFonts w:ascii="Times New Roman" w:cs="Times New Roman" w:eastAsia="Times New Roman" w:hAnsi="Times New Roman"/>
          <w:sz w:val="22"/>
          <w:szCs w:val="22"/>
        </w:rPr>
        <w:t xml:space="preserve">Se va verifica separat dacă creditorul își păstrează un drept de abitație sau de uzufruct. Proiectul nu îl constituie dacă nu a fost descris la conținutul întreținerii.</w:t>
      </w:r>
    </w:p>
    <w:p>
      <w:pPr>
        <w:spacing w:after="160" w:line="360"/>
        <w:jc w:val="both"/>
      </w:pPr>
      <w:r>
        <w:rPr>
          <w:rFonts w:ascii="Times New Roman" w:cs="Times New Roman" w:eastAsia="Times New Roman" w:hAnsi="Times New Roman"/>
          <w:sz w:val="22"/>
          <w:szCs w:val="22"/>
        </w:rPr>
        <w:t xml:space="preserve">Părțile declară că au înțeles diferența dintre acest contract și o donație sau o vânzare.</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2254 și urm.. Contractul de întreținere.</w:t>
      </w:r>
    </w:p>
    <w:p>
      <w:pPr>
        <w:spacing w:after="160" w:line="360"/>
        <w:jc w:val="both"/>
      </w:pPr>
      <w:r>
        <w:rPr>
          <w:rFonts w:ascii="Times New Roman" w:cs="Times New Roman" w:eastAsia="Times New Roman" w:hAnsi="Times New Roman"/>
          <w:sz w:val="22"/>
          <w:szCs w:val="22"/>
        </w:rPr>
        <w:t xml:space="preserve">Codul fiscal, art. 111. Întreținerea nu este scutită ca donația între rude.</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2026-10-14T13:55:27.560Z</dcterms:created>
  <dcterms:modified xsi:type="dcterms:W3CDTF">2026-10-14T13:55:27.560Z</dcterms:modified>
</cp:coreProperties>
</file>

<file path=docProps/custom.xml><?xml version="1.0" encoding="utf-8"?>
<Properties xmlns="http://schemas.openxmlformats.org/officeDocument/2006/custom-properties" xmlns:vt="http://schemas.openxmlformats.org/officeDocument/2006/docPropsVTypes"/>
</file>