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CONVENȚIE MATRIMONIALĂ</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Soțul: Mihai Pop, identificat/identificată cu C.I. seria CJ nr. 100024, CNP 1821105130039, domiciliat/domiciliată în Cluj-Napoca, strada Clinicilor nr 8, stare civilă: căsătorit.</w:t>
      </w:r>
    </w:p>
    <w:p>
      <w:pPr>
        <w:spacing w:after="160" w:line="360"/>
        <w:jc w:val="both"/>
      </w:pPr>
      <w:r>
        <w:rPr>
          <w:rFonts w:ascii="Times New Roman" w:cs="Times New Roman" w:eastAsia="Times New Roman" w:hAnsi="Times New Roman"/>
          <w:sz w:val="22"/>
          <w:szCs w:val="22"/>
        </w:rPr>
        <w:t xml:space="preserve">Soția: Elena Pop, identificat/identificată cu C.I. seria CJ nr. 100025, CNP 2780622120028, domiciliat/domiciliată în Cluj-Napoca, strada Clinicilor nr 8, stare civilă: căsătorită.</w:t>
      </w:r>
    </w:p>
    <w:p>
      <w:pPr>
        <w:spacing w:after="160" w:line="360"/>
        <w:jc w:val="both"/>
      </w:pPr>
      <w:r>
        <w:rPr>
          <w:rFonts w:ascii="Times New Roman" w:cs="Times New Roman" w:eastAsia="Times New Roman" w:hAnsi="Times New Roman"/>
          <w:b/>
          <w:bCs/>
          <w:sz w:val="22"/>
          <w:szCs w:val="22"/>
        </w:rPr>
        <w:t xml:space="preserve">Regimul</w:t>
      </w:r>
    </w:p>
    <w:p>
      <w:pPr>
        <w:spacing w:after="160" w:line="360"/>
        <w:jc w:val="both"/>
      </w:pPr>
      <w:r>
        <w:rPr>
          <w:rFonts w:ascii="Times New Roman" w:cs="Times New Roman" w:eastAsia="Times New Roman" w:hAnsi="Times New Roman"/>
          <w:sz w:val="22"/>
          <w:szCs w:val="22"/>
        </w:rPr>
        <w:t xml:space="preserve">Părțile încheie prezenta convenție în formă autentică, potrivit art. 330 din Codul civil. O convenție sub semnătură privată nu schimbă regimul.</w:t>
      </w:r>
    </w:p>
    <w:p>
      <w:pPr>
        <w:spacing w:after="160" w:line="360"/>
        <w:jc w:val="both"/>
      </w:pPr>
      <w:r>
        <w:rPr>
          <w:rFonts w:ascii="Times New Roman" w:cs="Times New Roman" w:eastAsia="Times New Roman" w:hAnsi="Times New Roman"/>
          <w:sz w:val="22"/>
          <w:szCs w:val="22"/>
        </w:rPr>
        <w:t xml:space="preserve">Părțile revin la comunitatea legală. Bunurile dobândite după efectul convenției sunt comune, cu excepțiile art. 340.</w:t>
      </w:r>
    </w:p>
    <w:p>
      <w:pPr>
        <w:spacing w:after="160" w:line="360"/>
        <w:jc w:val="both"/>
      </w:pPr>
      <w:r>
        <w:rPr>
          <w:rFonts w:ascii="Times New Roman" w:cs="Times New Roman" w:eastAsia="Times New Roman" w:hAnsi="Times New Roman"/>
          <w:sz w:val="22"/>
          <w:szCs w:val="22"/>
        </w:rPr>
        <w:t xml:space="preserve">Efecte: de la data autentificării, cu lichidarea separată a regimului anterior.</w:t>
      </w:r>
    </w:p>
    <w:p>
      <w:pPr>
        <w:spacing w:after="160" w:line="360"/>
        <w:jc w:val="both"/>
      </w:pPr>
      <w:r>
        <w:rPr>
          <w:rFonts w:ascii="Times New Roman" w:cs="Times New Roman" w:eastAsia="Times New Roman" w:hAnsi="Times New Roman"/>
          <w:sz w:val="22"/>
          <w:szCs w:val="22"/>
        </w:rPr>
        <w:t xml:space="preserve">Inventar: apartament în Cluj-Napoca, CF 345678, care redevine bun comun după revenirea la comunitatea legală.</w:t>
      </w:r>
    </w:p>
    <w:p>
      <w:pPr>
        <w:spacing w:after="160" w:line="360"/>
        <w:jc w:val="both"/>
      </w:pPr>
      <w:r>
        <w:rPr>
          <w:rFonts w:ascii="Times New Roman" w:cs="Times New Roman" w:eastAsia="Times New Roman" w:hAnsi="Times New Roman"/>
          <w:sz w:val="22"/>
          <w:szCs w:val="22"/>
        </w:rPr>
        <w:t xml:space="preserve">Convenția se notează în registrul prevăzut de lege și, pentru imobile, în cartea funciară, ca să fie opozabilă terților. Fără aceste formalități, soții nu o pot opune dobânditorilor de bună-credință.</w:t>
      </w:r>
    </w:p>
    <w:p>
      <w:pPr>
        <w:spacing w:after="160" w:line="360"/>
        <w:jc w:val="both"/>
      </w:pPr>
      <w:r>
        <w:rPr>
          <w:rFonts w:ascii="Times New Roman" w:cs="Times New Roman" w:eastAsia="Times New Roman" w:hAnsi="Times New Roman"/>
          <w:sz w:val="22"/>
          <w:szCs w:val="22"/>
        </w:rPr>
        <w:t xml:space="preserve">Lichidarea regimului anterior, dacă există bunuri comune, se face prin act separat sau prin capitol de lichidare, cu cotele și sultele scrise în cifre. Acest proiect nu lichidează comunitatea dacă inventarul nu o spune.</w:t>
      </w:r>
    </w:p>
    <w:p>
      <w:pPr>
        <w:spacing w:after="160" w:line="360"/>
        <w:jc w:val="both"/>
      </w:pPr>
      <w:r>
        <w:rPr>
          <w:rFonts w:ascii="Times New Roman" w:cs="Times New Roman" w:eastAsia="Times New Roman" w:hAnsi="Times New Roman"/>
          <w:sz w:val="22"/>
          <w:szCs w:val="22"/>
        </w:rPr>
        <w:t xml:space="preserve">Minorul care se căsătorește și persoana ocrotită cer avizele prevăzute de lege. Notarul nu autentifică convenția fără ele.</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312 și urm. și art. 330. Regimurile matrimoniale și forma autentică a convenției.</w:t>
      </w:r>
    </w:p>
    <w:p>
      <w:pPr>
        <w:spacing w:after="160" w:line="360"/>
        <w:jc w:val="both"/>
      </w:pPr>
      <w:r>
        <w:rPr>
          <w:rFonts w:ascii="Times New Roman" w:cs="Times New Roman" w:eastAsia="Times New Roman" w:hAnsi="Times New Roman"/>
          <w:sz w:val="22"/>
          <w:szCs w:val="22"/>
        </w:rPr>
        <w:t xml:space="preserve">Codul civil, art. 329 și art. 366. Separația de bunuri și comunitatea convențională.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2026-10-14T13:55:28.118Z</dcterms:created>
  <dcterms:modified xsi:type="dcterms:W3CDTF">2026-10-14T13:55:28.118Z</dcterms:modified>
</cp:coreProperties>
</file>

<file path=docProps/custom.xml><?xml version="1.0" encoding="utf-8"?>
<Properties xmlns="http://schemas.openxmlformats.org/officeDocument/2006/custom-properties" xmlns:vt="http://schemas.openxmlformats.org/officeDocument/2006/docPropsVTypes"/>
</file>