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DECLARAȚIE DE ACCEPTARE A MOȘTENIRII</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Succesibil: Luca Mureșan, identificat/identificată cu C.I. seria CJ nr. 100029, CNP 5100412120061, domiciliat/domiciliată în Cluj-Napoca, strada Moților nr 9, stare civilă: necăsătorit.</w:t>
      </w:r>
    </w:p>
    <w:p>
      <w:pPr>
        <w:spacing w:after="160" w:line="360"/>
        <w:jc w:val="both"/>
      </w:pPr>
      <w:r>
        <w:rPr>
          <w:rFonts w:ascii="Times New Roman" w:cs="Times New Roman" w:eastAsia="Times New Roman" w:hAnsi="Times New Roman"/>
          <w:b/>
          <w:bCs/>
          <w:sz w:val="22"/>
          <w:szCs w:val="22"/>
        </w:rPr>
        <w:t xml:space="preserve">Opțiunea</w:t>
      </w:r>
    </w:p>
    <w:p>
      <w:pPr>
        <w:spacing w:after="160" w:line="360"/>
        <w:jc w:val="both"/>
      </w:pPr>
      <w:r>
        <w:rPr>
          <w:rFonts w:ascii="Times New Roman" w:cs="Times New Roman" w:eastAsia="Times New Roman" w:hAnsi="Times New Roman"/>
          <w:sz w:val="22"/>
          <w:szCs w:val="22"/>
        </w:rPr>
        <w:t xml:space="preserve">Declar că accept pur și simplu moștenirea rămasă de pe urma defunctului Petre Mureșan, decedat la 15 iunie 2025, cu ultimul domiciliu în Cluj-Napoca, strada Horea nr 10.</w:t>
      </w:r>
    </w:p>
    <w:p>
      <w:pPr>
        <w:spacing w:after="160" w:line="360"/>
        <w:jc w:val="both"/>
      </w:pPr>
      <w:r>
        <w:rPr>
          <w:rFonts w:ascii="Times New Roman" w:cs="Times New Roman" w:eastAsia="Times New Roman" w:hAnsi="Times New Roman"/>
          <w:sz w:val="22"/>
          <w:szCs w:val="22"/>
        </w:rPr>
        <w:t xml:space="preserve">Îmi însușesc expres calitatea de moștenitor, în sensul art. 1108 alin. (2). Acceptarea este indivizibilă: nu pot lua bunurile și lăsa datoriile. Dacă am și o vocație testamentară distinctă, opțiunea asupra ei se verifică separat (art. 1102).</w:t>
      </w:r>
    </w:p>
    <w:p>
      <w:pPr>
        <w:spacing w:after="160" w:line="360"/>
        <w:jc w:val="both"/>
      </w:pPr>
      <w:r>
        <w:rPr>
          <w:rFonts w:ascii="Times New Roman" w:cs="Times New Roman" w:eastAsia="Times New Roman" w:hAnsi="Times New Roman"/>
          <w:sz w:val="22"/>
          <w:szCs w:val="22"/>
        </w:rPr>
        <w:t xml:space="preserve">Știu că termenul de opțiune este de un an de la deschiderea moștenirii (art. 1103) și că declarația autentică se înscrie în registrul național notarial (art. 1109).</w:t>
      </w:r>
    </w:p>
    <w:p>
      <w:pPr>
        <w:spacing w:after="160" w:line="360"/>
        <w:jc w:val="both"/>
      </w:pPr>
      <w:r>
        <w:rPr>
          <w:rFonts w:ascii="Times New Roman" w:cs="Times New Roman" w:eastAsia="Times New Roman" w:hAnsi="Times New Roman"/>
          <w:sz w:val="22"/>
          <w:szCs w:val="22"/>
        </w:rPr>
        <w:t xml:space="preserve">Succesibilul este minor lipsit de capacitate de exercițiu. Potrivit Deciziei ÎCCJ nr. 58/2024, acceptarea expresă este act de dispoziție și nu se autentifică fără încuviințarea instanței de tutelă. Proiectul se oprește aici până la încuviințare.</w:t>
      </w:r>
    </w:p>
    <w:p>
      <w:pPr>
        <w:spacing w:after="160" w:line="360"/>
        <w:jc w:val="both"/>
      </w:pPr>
      <w:r>
        <w:rPr>
          <w:rFonts w:ascii="Times New Roman" w:cs="Times New Roman" w:eastAsia="Times New Roman" w:hAnsi="Times New Roman"/>
          <w:sz w:val="22"/>
          <w:szCs w:val="22"/>
        </w:rPr>
        <w:t xml:space="preserve">Declarația nu stabilește cotele și nu ține loc de certificat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1103 și art. 1108–1109. Termenul de un an și acceptarea expresă, înscrisă în registrul notarial dacă este autentică.</w:t>
      </w:r>
    </w:p>
    <w:p>
      <w:pPr>
        <w:spacing w:after="160" w:line="360"/>
        <w:jc w:val="both"/>
      </w:pPr>
      <w:r>
        <w:rPr>
          <w:rFonts w:ascii="Times New Roman" w:cs="Times New Roman" w:eastAsia="Times New Roman" w:hAnsi="Times New Roman"/>
          <w:sz w:val="22"/>
          <w:szCs w:val="22"/>
        </w:rPr>
        <w:t xml:space="preserve">ÎCCJ, Decizia nr. 58/2024. Acceptarea expresă a minorului lipsit de capacitate de exercițiu cere încuviințarea instanței de tutelă.</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2026-10-14T13:55:28.664Z</dcterms:created>
  <dcterms:modified xsi:type="dcterms:W3CDTF">2026-10-14T13:55:28.664Z</dcterms:modified>
</cp:coreProperties>
</file>

<file path=docProps/custom.xml><?xml version="1.0" encoding="utf-8"?>
<Properties xmlns="http://schemas.openxmlformats.org/officeDocument/2006/custom-properties" xmlns:vt="http://schemas.openxmlformats.org/officeDocument/2006/docPropsVTypes"/>
</file>