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trei pătrimi (3/4), rezervă trei optimi (3/8), activ 150.000,00 lei, pasiv repartizat 0,00 lei, net 150.000,00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Gheorghe Mureșan, colateral ordinar, cotă o pătrime (1/4), rezervă nu este rezervatar, activ 50.000,00 lei, pasiv repartizat 0,00 lei, net 50.000,00 lei, fără sultă pe bunurile atribuite. Art. 983 C. civ.</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Teren propriu: 200.000,00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3/8, cotitate disponibilă 5/8.</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Vin colateralii ordinari de gradul cel mai apropiat, cel mult gradul IV (art. 983 C. civ.).</w:t>
      </w:r>
    </w:p>
    <w:p>
      <w:pPr>
        <w:spacing w:after="160" w:line="360"/>
        <w:jc w:val="both"/>
      </w:pPr>
      <w:r>
        <w:rPr>
          <w:rFonts w:ascii="Times New Roman" w:cs="Times New Roman" w:eastAsia="Times New Roman" w:hAnsi="Times New Roman"/>
          <w:sz w:val="22"/>
          <w:szCs w:val="22"/>
        </w:rPr>
        <w:t xml:space="preserve">Soțul, în concurs cu clasa a III-a sau a IV-a, are trei pătrimi (art. 972 alin. (1) lit. d).</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cinci optimi (5/8).</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2.352,49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2026-10-14T13:55:29.553Z</dcterms:created>
  <dcterms:modified xsi:type="dcterms:W3CDTF">2026-10-14T13:55:29.553Z</dcterms:modified>
</cp:coreProperties>
</file>

<file path=docProps/custom.xml><?xml version="1.0" encoding="utf-8"?>
<Properties xmlns="http://schemas.openxmlformats.org/officeDocument/2006/custom-properties" xmlns:vt="http://schemas.openxmlformats.org/officeDocument/2006/docPropsVTypes"/>
</file>