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Ioana Mureșan, soț supraviețuitor, cotă o pătrime (1/4), rezervă o optime (1/8), activ 52.500,00 lei, pasiv repartizat 5.000,00 lei, net 47.500,00 lei, fără sultă pe bunurile atribuite. Art. 971–972 C. civ.</w:t>
      </w:r>
    </w:p>
    <w:p>
      <w:pPr>
        <w:spacing w:after="160" w:line="360"/>
        <w:jc w:val="both"/>
      </w:pPr>
      <w:r>
        <w:rPr>
          <w:rFonts w:ascii="Times New Roman" w:cs="Times New Roman" w:eastAsia="Times New Roman" w:hAnsi="Times New Roman"/>
          <w:sz w:val="22"/>
          <w:szCs w:val="22"/>
        </w:rPr>
        <w:t xml:space="preserve">2. Sorin Mureșan, descendent, cotă trei pătrimi (3/4), rezervă trei optimi (3/8), activ 157.500,00 lei, pasiv repartizat 15.000,00 lei, net 142.500,00 lei, fără sultă pe bunurile atribuite. Art. 975 C. civ., pe capete.</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comun: 400.000,00 lei, regim comun, categorie imobil, lăsat în indiviziune.</w:t>
      </w:r>
    </w:p>
    <w:p>
      <w:pPr>
        <w:spacing w:after="160" w:line="360"/>
        <w:jc w:val="both"/>
      </w:pPr>
      <w:r>
        <w:rPr>
          <w:rFonts w:ascii="Times New Roman" w:cs="Times New Roman" w:eastAsia="Times New Roman" w:hAnsi="Times New Roman"/>
          <w:sz w:val="22"/>
          <w:szCs w:val="22"/>
        </w:rPr>
        <w:t xml:space="preserve">- Mobilier de uz casnic: 15.000,00 lei, regim uz-casnic, categorie mobil, lăsat în indiviziune.</w:t>
      </w:r>
    </w:p>
    <w:p>
      <w:pPr>
        <w:spacing w:after="160" w:line="360"/>
        <w:jc w:val="both"/>
      </w:pPr>
      <w:r>
        <w:rPr>
          <w:rFonts w:ascii="Times New Roman" w:cs="Times New Roman" w:eastAsia="Times New Roman" w:hAnsi="Times New Roman"/>
          <w:sz w:val="22"/>
          <w:szCs w:val="22"/>
        </w:rPr>
        <w:t xml:space="preserve">- Cont propriu al defunctului: 10.000,00 lei, regim propriu-defunct, categorie mobil, lăsat în indiviziune.</w:t>
      </w:r>
    </w:p>
    <w:p>
      <w:pPr>
        <w:spacing w:after="160" w:line="360"/>
        <w:jc w:val="both"/>
      </w:pPr>
      <w:r>
        <w:rPr>
          <w:rFonts w:ascii="Times New Roman" w:cs="Times New Roman" w:eastAsia="Times New Roman" w:hAnsi="Times New Roman"/>
          <w:sz w:val="22"/>
          <w:szCs w:val="22"/>
        </w:rPr>
        <w:t xml:space="preserve">Activ brut succesoral: 210.000,00 lei.</w:t>
      </w:r>
    </w:p>
    <w:p>
      <w:pPr>
        <w:spacing w:after="160" w:line="360"/>
        <w:jc w:val="both"/>
      </w:pPr>
      <w:r>
        <w:rPr>
          <w:rFonts w:ascii="Times New Roman" w:cs="Times New Roman" w:eastAsia="Times New Roman" w:hAnsi="Times New Roman"/>
          <w:sz w:val="22"/>
          <w:szCs w:val="22"/>
        </w:rPr>
        <w:t xml:space="preserve">Pasiv: 20.000,00 lei.</w:t>
      </w:r>
    </w:p>
    <w:p>
      <w:pPr>
        <w:spacing w:after="160" w:line="360"/>
        <w:jc w:val="both"/>
      </w:pPr>
      <w:r>
        <w:rPr>
          <w:rFonts w:ascii="Times New Roman" w:cs="Times New Roman" w:eastAsia="Times New Roman" w:hAnsi="Times New Roman"/>
          <w:sz w:val="22"/>
          <w:szCs w:val="22"/>
        </w:rPr>
        <w:t xml:space="preserve">Activ net: 190.000,00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200.000,00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15.000,00 lei.</w:t>
      </w:r>
    </w:p>
    <w:p>
      <w:pPr>
        <w:spacing w:after="160" w:line="360"/>
        <w:jc w:val="both"/>
      </w:pPr>
      <w:r>
        <w:rPr>
          <w:rFonts w:ascii="Times New Roman" w:cs="Times New Roman" w:eastAsia="Times New Roman" w:hAnsi="Times New Roman"/>
          <w:sz w:val="22"/>
          <w:szCs w:val="22"/>
        </w:rPr>
        <w:t xml:space="preserve">Activ net imobiliar, bază de lucru pentru art. 111 alin. (3): 180.000,00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Neîndeplinit: Liberalitățile față de cotitatea disponibilă. Depășire de 1/4.</w:t>
      </w:r>
    </w:p>
    <w:p>
      <w:pPr>
        <w:spacing w:after="160" w:line="360"/>
        <w:jc w:val="both"/>
      </w:pPr>
      <w:r>
        <w:rPr>
          <w:rFonts w:ascii="Times New Roman" w:cs="Times New Roman" w:eastAsia="Times New Roman" w:hAnsi="Times New Roman"/>
          <w:sz w:val="22"/>
          <w:szCs w:val="22"/>
        </w:rPr>
        <w:t xml:space="preserve">Clasa I, descendenții, înlătură clasele următoare (art. 963 și art. 975 C. civ.).</w:t>
      </w:r>
    </w:p>
    <w:p>
      <w:pPr>
        <w:spacing w:after="160" w:line="360"/>
        <w:jc w:val="both"/>
      </w:pPr>
      <w:r>
        <w:rPr>
          <w:rFonts w:ascii="Times New Roman" w:cs="Times New Roman" w:eastAsia="Times New Roman" w:hAnsi="Times New Roman"/>
          <w:sz w:val="22"/>
          <w:szCs w:val="22"/>
        </w:rPr>
        <w:t xml:space="preserve">Soțul supraviețuitor, în concurs cu descendenții, are o pătrime (art. 972 alin. (1) lit. a).</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Mobilierul și obiectele de uz casnic afectate folosinței comune, în valoare de 15000.00 lei, se cuvin soțului pe lângă cotă și nu intră în masa care se împarte (art. 974).</w:t>
      </w:r>
    </w:p>
    <w:p>
      <w:pPr>
        <w:spacing w:after="160" w:line="360"/>
        <w:jc w:val="both"/>
      </w:pPr>
      <w:r>
        <w:rPr>
          <w:rFonts w:ascii="Times New Roman" w:cs="Times New Roman" w:eastAsia="Times New Roman" w:hAnsi="Times New Roman"/>
          <w:sz w:val="22"/>
          <w:szCs w:val="22"/>
        </w:rPr>
        <w:t xml:space="preserve">Legatele se impută mai întâi asupra cotității disponibile. Raportul donațiilor și reducțiunea se judecă pe masa de calcul, nu doar pe activul rămas la deces (art. 1091 și urm.). Cifrele de mai jos sunt control matematic, nu o reducțiune gata de certificat.</w:t>
      </w:r>
    </w:p>
    <w:p>
      <w:pPr>
        <w:spacing w:after="160" w:line="360"/>
        <w:jc w:val="both"/>
      </w:pPr>
      <w:r>
        <w:rPr>
          <w:rFonts w:ascii="Times New Roman" w:cs="Times New Roman" w:eastAsia="Times New Roman" w:hAnsi="Times New Roman"/>
          <w:sz w:val="22"/>
          <w:szCs w:val="22"/>
        </w:rPr>
        <w:t xml:space="preserve">Liberalitățile către persoane nerezervatare depășesc cotitatea disponibilă cu o pătrime (1/4). Ele sunt supuse reducțiunii.</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2.437,49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2026-10-14T13:55:30.358Z</dcterms:created>
  <dcterms:modified xsi:type="dcterms:W3CDTF">2026-10-14T13:55:30.358Z</dcterms:modified>
</cp:coreProperties>
</file>

<file path=docProps/custom.xml><?xml version="1.0" encoding="utf-8"?>
<Properties xmlns="http://schemas.openxmlformats.org/officeDocument/2006/custom-properties" xmlns:vt="http://schemas.openxmlformats.org/officeDocument/2006/docPropsVTypes"/>
</file>