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line="360"/>
        <w:jc w:val="center"/>
      </w:pPr>
      <w:r>
        <w:rPr>
          <w:rFonts w:ascii="Times New Roman" w:cs="Times New Roman" w:eastAsia="Times New Roman" w:hAnsi="Times New Roman"/>
          <w:b/>
          <w:bCs/>
          <w:sz w:val="22"/>
          <w:szCs w:val="22"/>
        </w:rPr>
        <w:t xml:space="preserve">ROMÂNIA</w:t>
      </w:r>
    </w:p>
    <w:p>
      <w:pPr>
        <w:spacing w:after="160" w:line="360"/>
        <w:jc w:val="center"/>
      </w:pPr>
      <w:r>
        <w:rPr>
          <w:rFonts w:ascii="Times New Roman" w:cs="Times New Roman" w:eastAsia="Times New Roman" w:hAnsi="Times New Roman"/>
          <w:sz w:val="22"/>
          <w:szCs w:val="22"/>
        </w:rPr>
        <w:t xml:space="preserve">UNIUNEA NAȚIONALĂ A NOTARILOR PUBLICI DIN ROMÂNIA</w:t>
      </w:r>
    </w:p>
    <w:p>
      <w:pPr>
        <w:spacing w:after="160" w:line="360"/>
        <w:jc w:val="center"/>
      </w:pPr>
      <w:r>
        <w:rPr>
          <w:rFonts w:ascii="Times New Roman" w:cs="Times New Roman" w:eastAsia="Times New Roman" w:hAnsi="Times New Roman"/>
          <w:sz w:val="22"/>
          <w:szCs w:val="22"/>
        </w:rPr>
        <w:t xml:space="preserve">Camera Notarilor Publici Cluj</w:t>
      </w:r>
    </w:p>
    <w:p>
      <w:pPr>
        <w:spacing w:after="160" w:line="360"/>
        <w:jc w:val="center"/>
      </w:pPr>
      <w:r>
        <w:rPr>
          <w:rFonts w:ascii="Times New Roman" w:cs="Times New Roman" w:eastAsia="Times New Roman" w:hAnsi="Times New Roman"/>
          <w:sz w:val="22"/>
          <w:szCs w:val="22"/>
        </w:rPr>
        <w:t xml:space="preserve">BIROUL NOTARULUI PUBLIC Ionescu Andrei</w:t>
      </w:r>
    </w:p>
    <w:p>
      <w:pPr>
        <w:spacing w:after="160" w:line="360"/>
        <w:jc w:val="center"/>
      </w:pPr>
      <w:r>
        <w:rPr>
          <w:rFonts w:ascii="Times New Roman" w:cs="Times New Roman" w:eastAsia="Times New Roman" w:hAnsi="Times New Roman"/>
          <w:sz w:val="22"/>
          <w:szCs w:val="22"/>
        </w:rPr>
        <w:t xml:space="preserve">Sediul: Cluj-Napoca, str. Memorandumului nr. 28</w:t>
      </w:r>
    </w:p>
    <w:p>
      <w:pPr>
        <w:spacing w:after="160" w:line="360"/>
        <w:jc w:val="center"/>
      </w:pPr>
      <w:r>
        <w:rPr>
          <w:rFonts w:ascii="Times New Roman" w:cs="Times New Roman" w:eastAsia="Times New Roman" w:hAnsi="Times New Roman"/>
          <w:sz w:val="22"/>
          <w:szCs w:val="22"/>
        </w:rPr>
        <w:t xml:space="preserve">Licența de funcționare nr. 145/12.03.2019</w:t>
      </w:r>
    </w:p>
    <w:p>
      <w:pPr>
        <w:spacing w:after="160" w:line="360"/>
        <w:jc w:val="center"/>
      </w:pPr>
      <w:r>
        <w:rPr>
          <w:rFonts w:ascii="Times New Roman" w:cs="Times New Roman" w:eastAsia="Times New Roman" w:hAnsi="Times New Roman"/>
          <w:sz w:val="22"/>
          <w:szCs w:val="22"/>
        </w:rPr>
        <w:t xml:space="preserve">Circumscripția: Circumscripția Tribunalului Cluj</w:t>
      </w:r>
    </w:p>
    <w:p>
      <w:pPr>
        <w:spacing w:after="160" w:line="360"/>
        <w:jc w:val="center"/>
      </w:pPr>
      <w:r>
        <w:rPr>
          <w:rFonts w:ascii="Times New Roman" w:cs="Times New Roman" w:eastAsia="Times New Roman" w:hAnsi="Times New Roman"/>
          <w:sz w:val="22"/>
          <w:szCs w:val="22"/>
        </w:rPr>
        <w:t xml:space="preserve"/>
      </w:r>
    </w:p>
    <w:p>
      <w:pPr>
        <w:spacing w:after="160" w:line="360"/>
        <w:jc w:val="center"/>
      </w:pPr>
      <w:r>
        <w:rPr>
          <w:rFonts w:ascii="Times New Roman" w:cs="Times New Roman" w:eastAsia="Times New Roman" w:hAnsi="Times New Roman"/>
          <w:b/>
          <w:bCs/>
          <w:sz w:val="22"/>
          <w:szCs w:val="22"/>
        </w:rPr>
        <w:t xml:space="preserve">PROIECT DE LUCRU — NU ESTE ÎNSCRIS AUTENTIC</w:t>
      </w:r>
    </w:p>
    <w:p>
      <w:pPr>
        <w:spacing w:after="160" w:line="360"/>
        <w:jc w:val="center"/>
      </w:pPr>
      <w:r>
        <w:rPr>
          <w:rFonts w:ascii="Times New Roman" w:cs="Times New Roman" w:eastAsia="Times New Roman" w:hAnsi="Times New Roman"/>
          <w:sz w:val="22"/>
          <w:szCs w:val="22"/>
        </w:rPr>
        <w:t xml:space="preserve">Document de asistență, generat local. Nu ține loc de consimțământ, nu are dată certă și nu se înscrie în cartea funciară. Notarul instrumentator verifică identitatea, capacitatea, consimțământul, proba dreptului și forma consolidată a legii în ziua actului.</w:t>
      </w:r>
    </w:p>
    <w:p>
      <w:pPr>
        <w:pStyle w:val="Heading2"/>
        <w:spacing w:after="160" w:line="360"/>
        <w:jc w:val="center"/>
      </w:pPr>
      <w:r>
        <w:rPr>
          <w:rFonts w:ascii="Times New Roman" w:cs="Times New Roman" w:eastAsia="Times New Roman" w:hAnsi="Times New Roman"/>
          <w:b/>
          <w:bCs/>
          <w:sz w:val="24"/>
          <w:szCs w:val="24"/>
        </w:rPr>
        <w:t xml:space="preserve">CERTIFICAT DE MOȘTENITOR — PROIECT</w:t>
      </w:r>
    </w:p>
    <w:p>
      <w:pPr>
        <w:spacing w:after="160" w:line="360"/>
        <w:jc w:val="both"/>
      </w:pPr>
      <w:r>
        <w:rPr>
          <w:rFonts w:ascii="Times New Roman" w:cs="Times New Roman" w:eastAsia="Times New Roman" w:hAnsi="Times New Roman"/>
          <w:sz w:val="22"/>
          <w:szCs w:val="22"/>
        </w:rPr>
        <w:t xml:space="preserve">Proiect întocmit pentru succesiunea lui Petre Mureșan, decedat la 1 martie 2024, cu ultimul domiciliu în Cluj-Napoca, strada Horea nr 10.</w:t>
      </w:r>
    </w:p>
    <w:p>
      <w:pPr>
        <w:spacing w:after="160" w:line="360"/>
        <w:jc w:val="both"/>
      </w:pPr>
      <w:r>
        <w:rPr>
          <w:rFonts w:ascii="Times New Roman" w:cs="Times New Roman" w:eastAsia="Times New Roman" w:hAnsi="Times New Roman"/>
          <w:sz w:val="22"/>
          <w:szCs w:val="22"/>
        </w:rPr>
        <w:t xml:space="preserve">Decesul: 1 martie 2024. Ultimul domiciliu: Cluj-Napoca, strada Horea nr 10.</w:t>
      </w:r>
    </w:p>
    <w:p>
      <w:pPr>
        <w:spacing w:after="160" w:line="360"/>
        <w:jc w:val="both"/>
      </w:pPr>
      <w:r>
        <w:rPr>
          <w:rFonts w:ascii="Times New Roman" w:cs="Times New Roman" w:eastAsia="Times New Roman" w:hAnsi="Times New Roman"/>
          <w:sz w:val="22"/>
          <w:szCs w:val="22"/>
        </w:rPr>
        <w:t xml:space="preserve">Competența aparține notarului din circumscripția tribunalului acestui domiciliu și se exercită numai la sediul biroului.</w:t>
      </w:r>
    </w:p>
    <w:p>
      <w:pPr>
        <w:spacing w:after="160" w:line="360"/>
        <w:jc w:val="both"/>
      </w:pPr>
      <w:r>
        <w:rPr>
          <w:rFonts w:ascii="Times New Roman" w:cs="Times New Roman" w:eastAsia="Times New Roman" w:hAnsi="Times New Roman"/>
          <w:b/>
          <w:bCs/>
          <w:sz w:val="22"/>
          <w:szCs w:val="22"/>
        </w:rPr>
        <w:t xml:space="preserve">I. Moștenitorii și cotele</w:t>
      </w:r>
    </w:p>
    <w:p>
      <w:pPr>
        <w:spacing w:after="160" w:line="360"/>
        <w:jc w:val="both"/>
      </w:pPr>
      <w:r>
        <w:rPr>
          <w:rFonts w:ascii="Times New Roman" w:cs="Times New Roman" w:eastAsia="Times New Roman" w:hAnsi="Times New Roman"/>
          <w:sz w:val="22"/>
          <w:szCs w:val="22"/>
        </w:rPr>
        <w:t xml:space="preserve">1. Ioana Mureșan, soț supraviețuitor, cotă o pătrime (1/4), rezervă o optime (1/8), activ 100.000,00 lei, pasiv repartizat 0,00 lei, net 100.000,00 lei, fără sultă pe bunurile atribuite. Art. 971–972 C. civ.</w:t>
      </w:r>
    </w:p>
    <w:p>
      <w:pPr>
        <w:spacing w:after="160" w:line="360"/>
        <w:jc w:val="both"/>
      </w:pPr>
      <w:r>
        <w:rPr>
          <w:rFonts w:ascii="Times New Roman" w:cs="Times New Roman" w:eastAsia="Times New Roman" w:hAnsi="Times New Roman"/>
          <w:sz w:val="22"/>
          <w:szCs w:val="22"/>
        </w:rPr>
        <w:t xml:space="preserve">2. Sorin Mureșan, descendent, cotă trei optimi (3/8), rezervă trei șaisprezecimi (3/16), activ 150.000,00 lei, pasiv repartizat 0,00 lei, net 150.000,00 lei, fără sultă pe bunurile atribuite. Art. 975 C. civ., pe capete.</w:t>
      </w:r>
    </w:p>
    <w:p>
      <w:pPr>
        <w:spacing w:after="160" w:line="360"/>
        <w:jc w:val="both"/>
      </w:pPr>
      <w:r>
        <w:rPr>
          <w:rFonts w:ascii="Times New Roman" w:cs="Times New Roman" w:eastAsia="Times New Roman" w:hAnsi="Times New Roman"/>
          <w:sz w:val="22"/>
          <w:szCs w:val="22"/>
        </w:rPr>
        <w:t xml:space="preserve">3. Ana Mureșan, descendent, cotă trei optimi (3/8), rezervă trei șaisprezecimi (3/16), activ 150.000,00 lei, pasiv repartizat 0,00 lei, net 150.000,00 lei, fără sultă pe bunurile atribuite. Art. 975 C. civ., pe capete.</w:t>
      </w:r>
    </w:p>
    <w:p>
      <w:pPr>
        <w:spacing w:after="160" w:line="360"/>
        <w:jc w:val="both"/>
      </w:pPr>
      <w:r>
        <w:rPr>
          <w:rFonts w:ascii="Times New Roman" w:cs="Times New Roman" w:eastAsia="Times New Roman" w:hAnsi="Times New Roman"/>
          <w:b/>
          <w:bCs/>
          <w:sz w:val="22"/>
          <w:szCs w:val="22"/>
        </w:rPr>
        <w:t xml:space="preserve">II. Masa</w:t>
      </w:r>
    </w:p>
    <w:p>
      <w:pPr>
        <w:spacing w:after="160" w:line="360"/>
        <w:jc w:val="both"/>
      </w:pPr>
      <w:r>
        <w:rPr>
          <w:rFonts w:ascii="Times New Roman" w:cs="Times New Roman" w:eastAsia="Times New Roman" w:hAnsi="Times New Roman"/>
          <w:sz w:val="22"/>
          <w:szCs w:val="22"/>
        </w:rPr>
        <w:t xml:space="preserve">- Apartament propriu: 400.000,00 lei, regim propriu-defunct, categorie imobil, lăsat în indiviziune.</w:t>
      </w:r>
    </w:p>
    <w:p>
      <w:pPr>
        <w:spacing w:after="160" w:line="360"/>
        <w:jc w:val="both"/>
      </w:pPr>
      <w:r>
        <w:rPr>
          <w:rFonts w:ascii="Times New Roman" w:cs="Times New Roman" w:eastAsia="Times New Roman" w:hAnsi="Times New Roman"/>
          <w:sz w:val="22"/>
          <w:szCs w:val="22"/>
        </w:rPr>
        <w:t xml:space="preserve">Activ brut succesoral: 400.000,00 lei.</w:t>
      </w:r>
    </w:p>
    <w:p>
      <w:pPr>
        <w:spacing w:after="160" w:line="360"/>
        <w:jc w:val="both"/>
      </w:pPr>
      <w:r>
        <w:rPr>
          <w:rFonts w:ascii="Times New Roman" w:cs="Times New Roman" w:eastAsia="Times New Roman" w:hAnsi="Times New Roman"/>
          <w:sz w:val="22"/>
          <w:szCs w:val="22"/>
        </w:rPr>
        <w:t xml:space="preserve">Pasiv: 0,00 lei.</w:t>
      </w:r>
    </w:p>
    <w:p>
      <w:pPr>
        <w:spacing w:after="160" w:line="360"/>
        <w:jc w:val="both"/>
      </w:pPr>
      <w:r>
        <w:rPr>
          <w:rFonts w:ascii="Times New Roman" w:cs="Times New Roman" w:eastAsia="Times New Roman" w:hAnsi="Times New Roman"/>
          <w:sz w:val="22"/>
          <w:szCs w:val="22"/>
        </w:rPr>
        <w:t xml:space="preserve">Activ net: 400.000,00 lei.</w:t>
      </w:r>
    </w:p>
    <w:p>
      <w:pPr>
        <w:spacing w:after="160" w:line="360"/>
        <w:jc w:val="both"/>
      </w:pPr>
      <w:r>
        <w:rPr>
          <w:rFonts w:ascii="Times New Roman" w:cs="Times New Roman" w:eastAsia="Times New Roman" w:hAnsi="Times New Roman"/>
          <w:sz w:val="22"/>
          <w:szCs w:val="22"/>
        </w:rPr>
        <w:t xml:space="preserve">Partea soțului din bunurile comune, care nu intră în masă: 0,00 lei.</w:t>
      </w:r>
    </w:p>
    <w:p>
      <w:pPr>
        <w:spacing w:after="160" w:line="360"/>
        <w:jc w:val="both"/>
      </w:pPr>
      <w:r>
        <w:rPr>
          <w:rFonts w:ascii="Times New Roman" w:cs="Times New Roman" w:eastAsia="Times New Roman" w:hAnsi="Times New Roman"/>
          <w:sz w:val="22"/>
          <w:szCs w:val="22"/>
        </w:rPr>
        <w:t xml:space="preserve">Bunuri de uz casnic atribuite soțului pe lângă cotă, art. 974: 0,00 lei.</w:t>
      </w:r>
    </w:p>
    <w:p>
      <w:pPr>
        <w:spacing w:after="160" w:line="360"/>
        <w:jc w:val="both"/>
      </w:pPr>
      <w:r>
        <w:rPr>
          <w:rFonts w:ascii="Times New Roman" w:cs="Times New Roman" w:eastAsia="Times New Roman" w:hAnsi="Times New Roman"/>
          <w:sz w:val="22"/>
          <w:szCs w:val="22"/>
        </w:rPr>
        <w:t xml:space="preserve">Activ net imobiliar, bază de lucru pentru art. 111 alin. (3): 400.000,00 lei.</w:t>
      </w:r>
    </w:p>
    <w:p>
      <w:pPr>
        <w:spacing w:after="160" w:line="360"/>
        <w:jc w:val="both"/>
      </w:pPr>
      <w:r>
        <w:rPr>
          <w:rFonts w:ascii="Times New Roman" w:cs="Times New Roman" w:eastAsia="Times New Roman" w:hAnsi="Times New Roman"/>
          <w:b/>
          <w:bCs/>
          <w:sz w:val="22"/>
          <w:szCs w:val="22"/>
        </w:rPr>
        <w:t xml:space="preserve">III. Controlul calculelor</w:t>
      </w:r>
    </w:p>
    <w:p>
      <w:pPr>
        <w:spacing w:after="160" w:line="360"/>
        <w:jc w:val="both"/>
      </w:pPr>
      <w:r>
        <w:rPr>
          <w:rFonts w:ascii="Times New Roman" w:cs="Times New Roman" w:eastAsia="Times New Roman" w:hAnsi="Times New Roman"/>
          <w:sz w:val="22"/>
          <w:szCs w:val="22"/>
        </w:rPr>
        <w:t xml:space="preserve">Îndeplinit: Suma cotelor legale. Suma cotelor este 1/1.</w:t>
      </w:r>
    </w:p>
    <w:p>
      <w:pPr>
        <w:spacing w:after="160" w:line="360"/>
        <w:jc w:val="both"/>
      </w:pPr>
      <w:r>
        <w:rPr>
          <w:rFonts w:ascii="Times New Roman" w:cs="Times New Roman" w:eastAsia="Times New Roman" w:hAnsi="Times New Roman"/>
          <w:sz w:val="22"/>
          <w:szCs w:val="22"/>
        </w:rPr>
        <w:t xml:space="preserve">Îndeplinit: Suma valorilor pe moștenitori. Valorile nete, după rotunjirea la ban, acoperă activul net.</w:t>
      </w:r>
    </w:p>
    <w:p>
      <w:pPr>
        <w:spacing w:after="160" w:line="360"/>
        <w:jc w:val="both"/>
      </w:pPr>
      <w:r>
        <w:rPr>
          <w:rFonts w:ascii="Times New Roman" w:cs="Times New Roman" w:eastAsia="Times New Roman" w:hAnsi="Times New Roman"/>
          <w:sz w:val="22"/>
          <w:szCs w:val="22"/>
        </w:rPr>
        <w:t xml:space="preserve">Îndeplinit: Rezerva nu depășește moștenirea. Rezervă totală 1/2, cotitate disponibilă 1/2.</w:t>
      </w:r>
    </w:p>
    <w:p>
      <w:pPr>
        <w:spacing w:after="160" w:line="360"/>
        <w:jc w:val="both"/>
      </w:pPr>
      <w:r>
        <w:rPr>
          <w:rFonts w:ascii="Times New Roman" w:cs="Times New Roman" w:eastAsia="Times New Roman" w:hAnsi="Times New Roman"/>
          <w:sz w:val="22"/>
          <w:szCs w:val="22"/>
        </w:rPr>
        <w:t xml:space="preserve">Îndeplinit: Liberalitățile față de cotitatea disponibilă. Nu au fost introduse legate.</w:t>
      </w:r>
    </w:p>
    <w:p>
      <w:pPr>
        <w:spacing w:after="160" w:line="360"/>
        <w:jc w:val="both"/>
      </w:pPr>
      <w:r>
        <w:rPr>
          <w:rFonts w:ascii="Times New Roman" w:cs="Times New Roman" w:eastAsia="Times New Roman" w:hAnsi="Times New Roman"/>
          <w:sz w:val="22"/>
          <w:szCs w:val="22"/>
        </w:rPr>
        <w:t xml:space="preserve">Clasa I, descendenții, înlătură clasele următoare (art. 963 și art. 975 C. civ.).</w:t>
      </w:r>
    </w:p>
    <w:p>
      <w:pPr>
        <w:spacing w:after="160" w:line="360"/>
        <w:jc w:val="both"/>
      </w:pPr>
      <w:r>
        <w:rPr>
          <w:rFonts w:ascii="Times New Roman" w:cs="Times New Roman" w:eastAsia="Times New Roman" w:hAnsi="Times New Roman"/>
          <w:sz w:val="22"/>
          <w:szCs w:val="22"/>
        </w:rPr>
        <w:t xml:space="preserve">Soțul supraviețuitor, în concurs cu descendenții, are o pătrime (art. 972 alin. (1) lit. a).</w:t>
      </w:r>
    </w:p>
    <w:p>
      <w:pPr>
        <w:spacing w:after="160" w:line="360"/>
        <w:jc w:val="both"/>
      </w:pPr>
      <w:r>
        <w:rPr>
          <w:rFonts w:ascii="Times New Roman" w:cs="Times New Roman" w:eastAsia="Times New Roman" w:hAnsi="Times New Roman"/>
          <w:sz w:val="22"/>
          <w:szCs w:val="22"/>
        </w:rPr>
        <w:t xml:space="preserve">Rezerva fiecărui moștenitor rezervatar este jumătate din cota legală (art. 1088). Cotitatea disponibilă este o jumătate (1/2).</w:t>
      </w:r>
    </w:p>
    <w:p>
      <w:pPr>
        <w:spacing w:after="160" w:line="360"/>
        <w:jc w:val="both"/>
      </w:pPr>
      <w:r>
        <w:rPr>
          <w:rFonts w:ascii="Times New Roman" w:cs="Times New Roman" w:eastAsia="Times New Roman" w:hAnsi="Times New Roman"/>
          <w:sz w:val="22"/>
          <w:szCs w:val="22"/>
        </w:rPr>
        <w:t xml:space="preserve">A trecut mai mult de un an de la deces. Termenul de opțiune succesorală este de un an (art. 1103), cu excepțiile legale pentru moștenitorii care nu au cunoscut deschiderea moștenirii. Verificați acceptarea, expresă sau tacită, înainte de a-i trece ca renunțători.</w:t>
      </w:r>
    </w:p>
    <w:p>
      <w:pPr>
        <w:spacing w:after="160" w:line="360"/>
        <w:jc w:val="both"/>
      </w:pPr>
      <w:r>
        <w:rPr>
          <w:rFonts w:ascii="Times New Roman" w:cs="Times New Roman" w:eastAsia="Times New Roman" w:hAnsi="Times New Roman"/>
          <w:sz w:val="22"/>
          <w:szCs w:val="22"/>
        </w:rPr>
        <w:t xml:space="preserve">Procedura succesorală este de competența notarului din circumscripția tribunalului ultimului domiciliu al defunctului și se soluționează numai la sediul biroului (Legea nr. 36/1995, art. 15).</w:t>
      </w:r>
    </w:p>
    <w:p>
      <w:pPr>
        <w:spacing w:after="160" w:line="360"/>
        <w:jc w:val="both"/>
      </w:pPr>
      <w:r>
        <w:rPr>
          <w:rFonts w:ascii="Times New Roman" w:cs="Times New Roman" w:eastAsia="Times New Roman" w:hAnsi="Times New Roman"/>
          <w:b/>
          <w:bCs/>
          <w:sz w:val="22"/>
          <w:szCs w:val="22"/>
        </w:rPr>
        <w:t xml:space="preserve">IV. Onorariu și impozit, orientativ</w:t>
      </w:r>
    </w:p>
    <w:p>
      <w:pPr>
        <w:spacing w:after="160" w:line="360"/>
        <w:jc w:val="both"/>
      </w:pPr>
      <w:r>
        <w:rPr>
          <w:rFonts w:ascii="Times New Roman" w:cs="Times New Roman" w:eastAsia="Times New Roman" w:hAnsi="Times New Roman"/>
          <w:sz w:val="22"/>
          <w:szCs w:val="22"/>
        </w:rPr>
        <w:t xml:space="preserve">Onorariu minimal de procedură: 4.052,49 lei. Arhivare: 45,00 lei. OMJ nr. 177/C/2024, anexa nr. 3 — procedura succesorală. Arhivare: 45 lei (dosar cu termen de păstrare permanent).</w:t>
      </w:r>
    </w:p>
    <w:p>
      <w:pPr>
        <w:spacing w:after="160" w:line="360"/>
        <w:jc w:val="both"/>
      </w:pPr>
      <w:r>
        <w:rPr>
          <w:rFonts w:ascii="Times New Roman" w:cs="Times New Roman" w:eastAsia="Times New Roman" w:hAnsi="Times New Roman"/>
          <w:sz w:val="22"/>
          <w:szCs w:val="22"/>
        </w:rPr>
        <w:t xml:space="preserve">Succesiunea este finalizată în termen de 2 ani de la deces. Art. 111 alin. (3) din Codul fiscal: nu se datorează impozitul de 1%.</w:t>
      </w:r>
    </w:p>
    <w:p>
      <w:pPr>
        <w:spacing w:after="160" w:line="360"/>
        <w:jc w:val="both"/>
      </w:pPr>
      <w:r>
        <w:rPr>
          <w:rFonts w:ascii="Times New Roman" w:cs="Times New Roman" w:eastAsia="Times New Roman" w:hAnsi="Times New Roman"/>
          <w:sz w:val="22"/>
          <w:szCs w:val="22"/>
        </w:rPr>
        <w:t xml:space="preserve">Tarifele de carte funciară se adaugă după tariful ANCPI din ziua cererii.</w:t>
      </w:r>
    </w:p>
    <w:p>
      <w:pPr>
        <w:spacing w:after="160" w:line="360"/>
        <w:jc w:val="both"/>
      </w:pPr>
      <w:r>
        <w:rPr>
          <w:rFonts w:ascii="Times New Roman" w:cs="Times New Roman" w:eastAsia="Times New Roman" w:hAnsi="Times New Roman"/>
          <w:sz w:val="22"/>
          <w:szCs w:val="22"/>
        </w:rPr>
        <w:t xml:space="preserve">Certificatul adevărat se eliberează numai după încheierea finală, acordul moștenitorilor sau soluționarea opozițiilor, și după administrarea probelor. Până la acel moment, prezentul text nu face dovada calității de moștenitor.</w:t>
      </w:r>
    </w:p>
    <w:p>
      <w:pPr>
        <w:spacing w:after="160" w:line="360"/>
        <w:jc w:val="both"/>
      </w:pPr>
      <w:r>
        <w:rPr>
          <w:rFonts w:ascii="Times New Roman" w:cs="Times New Roman" w:eastAsia="Times New Roman" w:hAnsi="Times New Roman"/>
          <w:b/>
          <w:bCs/>
          <w:sz w:val="22"/>
          <w:szCs w:val="22"/>
        </w:rPr>
        <w:t xml:space="preserve">Temeiuri reținute în proiect</w:t>
      </w:r>
    </w:p>
    <w:p>
      <w:pPr>
        <w:spacing w:after="160" w:line="360"/>
        <w:jc w:val="both"/>
      </w:pPr>
      <w:r>
        <w:rPr>
          <w:rFonts w:ascii="Times New Roman" w:cs="Times New Roman" w:eastAsia="Times New Roman" w:hAnsi="Times New Roman"/>
          <w:sz w:val="22"/>
          <w:szCs w:val="22"/>
        </w:rPr>
        <w:t xml:space="preserve">Codul civil, art. 971–983 și art. 1088. Devoluțiunea legală și rezerva.</w:t>
      </w:r>
    </w:p>
    <w:p>
      <w:pPr>
        <w:spacing w:after="160" w:line="360"/>
        <w:jc w:val="both"/>
      </w:pPr>
      <w:r>
        <w:rPr>
          <w:rFonts w:ascii="Times New Roman" w:cs="Times New Roman" w:eastAsia="Times New Roman" w:hAnsi="Times New Roman"/>
          <w:sz w:val="22"/>
          <w:szCs w:val="22"/>
        </w:rPr>
        <w:t xml:space="preserve">Legea nr. 36/1995, art. 15 și art. 113 și urm.. Competența și cuprinsul încheierii finale.</w:t>
      </w:r>
    </w:p>
    <w:p>
      <w:pPr>
        <w:spacing w:after="160" w:line="360"/>
        <w:jc w:val="both"/>
      </w:pPr>
      <w:r>
        <w:rPr>
          <w:rFonts w:ascii="Times New Roman" w:cs="Times New Roman" w:eastAsia="Times New Roman" w:hAnsi="Times New Roman"/>
          <w:sz w:val="22"/>
          <w:szCs w:val="22"/>
        </w:rPr>
        <w:t xml:space="preserve">Codul fiscal, art. 111 alin. (3). Succesiunea este finalizată în termen de 2 ani de la deces. Art. 111 alin. (3) din Codul fiscal: nu se datorează impozitul de 1%.</w:t>
      </w:r>
    </w:p>
    <w:sectPr>
      <w:pgSz w:w="11906" w:h="16838" w:orient="portrait"/>
      <w:pgMar w:top="720" w:right="850" w:bottom="720" w:left="85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2026-10-14T13:55:30.748Z</dcterms:created>
  <dcterms:modified xsi:type="dcterms:W3CDTF">2026-10-14T13:55:30.748Z</dcterms:modified>
</cp:coreProperties>
</file>

<file path=docProps/custom.xml><?xml version="1.0" encoding="utf-8"?>
<Properties xmlns="http://schemas.openxmlformats.org/officeDocument/2006/custom-properties" xmlns:vt="http://schemas.openxmlformats.org/officeDocument/2006/docPropsVTypes"/>
</file>