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15 ianuarie 2023, cu ultimul domiciliu în Cluj-Napoca, strada Horea nr 10.</w:t>
      </w:r>
    </w:p>
    <w:p>
      <w:pPr>
        <w:spacing w:after="160" w:line="360"/>
        <w:jc w:val="both"/>
      </w:pPr>
      <w:r>
        <w:rPr>
          <w:rFonts w:ascii="Times New Roman" w:cs="Times New Roman" w:eastAsia="Times New Roman" w:hAnsi="Times New Roman"/>
          <w:sz w:val="22"/>
          <w:szCs w:val="22"/>
        </w:rPr>
        <w:t xml:space="preserve">Decesul: 15 ianuarie 2023.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Ioana Mureșan, soț supraviețuitor, cotă o pătrime (1/4), rezervă o optime (1/8), activ 45.000,00 lei, pasiv repartizat 0,00 lei, net 45.000,00 lei, fără sultă pe bunurile atribuite. Art. 971–972 C. civ.</w:t>
      </w:r>
    </w:p>
    <w:p>
      <w:pPr>
        <w:spacing w:after="160" w:line="360"/>
        <w:jc w:val="both"/>
      </w:pPr>
      <w:r>
        <w:rPr>
          <w:rFonts w:ascii="Times New Roman" w:cs="Times New Roman" w:eastAsia="Times New Roman" w:hAnsi="Times New Roman"/>
          <w:sz w:val="22"/>
          <w:szCs w:val="22"/>
        </w:rPr>
        <w:t xml:space="preserve">2. Sorin Mureșan, descendent, cotă trei pătrimi (3/4), rezervă trei optimi (3/8), activ 135.000,00 lei, pasiv repartizat 0,00 lei, net 135.000,00 lei, fără sultă pe bunurile atribuite. Art. 975 C. civ., pe capete.</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Apartament propriu: 180.000,00 lei, regim propriu-defunct, categorie imobil, lăsat în indiviziune.</w:t>
      </w:r>
    </w:p>
    <w:p>
      <w:pPr>
        <w:spacing w:after="160" w:line="360"/>
        <w:jc w:val="both"/>
      </w:pPr>
      <w:r>
        <w:rPr>
          <w:rFonts w:ascii="Times New Roman" w:cs="Times New Roman" w:eastAsia="Times New Roman" w:hAnsi="Times New Roman"/>
          <w:sz w:val="22"/>
          <w:szCs w:val="22"/>
        </w:rPr>
        <w:t xml:space="preserve">Activ brut succesoral: 180.000,00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180.000,00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180.000,00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1/2, cotitate disponibilă 1/2.</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Clasa I, descendenții, înlătură clasele următoare (art. 963 și art. 975 C. civ.).</w:t>
      </w:r>
    </w:p>
    <w:p>
      <w:pPr>
        <w:spacing w:after="160" w:line="360"/>
        <w:jc w:val="both"/>
      </w:pPr>
      <w:r>
        <w:rPr>
          <w:rFonts w:ascii="Times New Roman" w:cs="Times New Roman" w:eastAsia="Times New Roman" w:hAnsi="Times New Roman"/>
          <w:sz w:val="22"/>
          <w:szCs w:val="22"/>
        </w:rPr>
        <w:t xml:space="preserve">Soțul supraviețuitor, în concurs cu descendenții, are o pătrime (art. 972 alin. (1) lit. a).</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o jumătate (1/2).</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2.182,49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după 2 ani de la deces. Impozit 1% asupra activului net imobiliar. Bunurile mobile nu intră în această bază. Scutirea temporară din Legea nr. 170/2026 a încetat la 1 octombrie 2026. Sumă de lucru: 1.800,00 lei.</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după 2 ani de la deces. Impozit 1% asupra activului net imobiliar. Bunurile mobile nu intră în această bază. Scutirea temporară din Legea nr. 170/2026 a încetat la 1 octombrie 2026.</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2026-10-14T13:55:30.878Z</dcterms:created>
  <dcterms:modified xsi:type="dcterms:W3CDTF">2026-10-14T13:55:30.878Z</dcterms:modified>
</cp:coreProperties>
</file>

<file path=docProps/custom.xml><?xml version="1.0" encoding="utf-8"?>
<Properties xmlns="http://schemas.openxmlformats.org/officeDocument/2006/custom-properties" xmlns:vt="http://schemas.openxmlformats.org/officeDocument/2006/docPropsVTypes"/>
</file>