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3C4E7C61" w:rsidR="007D0159" w:rsidRDefault="007D0159" w:rsidP="007D0159">
      <w:pPr>
        <w:tabs>
          <w:tab w:val="left" w:pos="6880"/>
        </w:tabs>
        <w:jc w:val="center"/>
        <w:rPr>
          <w:sz w:val="24"/>
        </w:rPr>
      </w:pPr>
      <w:r>
        <w:rPr>
          <w:sz w:val="24"/>
        </w:rPr>
        <w:t>Driftsvejledning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BBE7DEB" w14:textId="77777777" w:rsidR="00091D71"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091D71">
        <w:rPr>
          <w:noProof/>
        </w:rPr>
        <w:t>1</w:t>
      </w:r>
      <w:r w:rsidR="00091D71">
        <w:rPr>
          <w:rFonts w:asciiTheme="minorHAnsi" w:eastAsiaTheme="minorEastAsia" w:hAnsiTheme="minorHAnsi" w:cstheme="minorBidi"/>
          <w:noProof/>
          <w:sz w:val="24"/>
          <w:szCs w:val="24"/>
          <w:lang w:val="en-US" w:eastAsia="ja-JP"/>
        </w:rPr>
        <w:tab/>
      </w:r>
      <w:r w:rsidR="00091D71">
        <w:rPr>
          <w:noProof/>
        </w:rPr>
        <w:t>Formål</w:t>
      </w:r>
      <w:r w:rsidR="00091D71">
        <w:rPr>
          <w:noProof/>
        </w:rPr>
        <w:tab/>
      </w:r>
      <w:r w:rsidR="00091D71">
        <w:rPr>
          <w:noProof/>
        </w:rPr>
        <w:fldChar w:fldCharType="begin"/>
      </w:r>
      <w:r w:rsidR="00091D71">
        <w:rPr>
          <w:noProof/>
        </w:rPr>
        <w:instrText xml:space="preserve"> PAGEREF _Toc220055159 \h </w:instrText>
      </w:r>
      <w:r w:rsidR="00091D71">
        <w:rPr>
          <w:noProof/>
        </w:rPr>
      </w:r>
      <w:r w:rsidR="00091D71">
        <w:rPr>
          <w:noProof/>
        </w:rPr>
        <w:fldChar w:fldCharType="separate"/>
      </w:r>
      <w:r w:rsidR="00091D71">
        <w:rPr>
          <w:noProof/>
        </w:rPr>
        <w:t>3</w:t>
      </w:r>
      <w:r w:rsidR="00091D71">
        <w:rPr>
          <w:noProof/>
        </w:rPr>
        <w:fldChar w:fldCharType="end"/>
      </w:r>
    </w:p>
    <w:p w14:paraId="25F14503"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_Toc220055160 \h </w:instrText>
      </w:r>
      <w:r>
        <w:rPr>
          <w:noProof/>
        </w:rPr>
      </w:r>
      <w:r>
        <w:rPr>
          <w:noProof/>
        </w:rPr>
        <w:fldChar w:fldCharType="separate"/>
      </w:r>
      <w:r>
        <w:rPr>
          <w:noProof/>
        </w:rPr>
        <w:t>4</w:t>
      </w:r>
      <w:r>
        <w:rPr>
          <w:noProof/>
        </w:rPr>
        <w:fldChar w:fldCharType="end"/>
      </w:r>
    </w:p>
    <w:p w14:paraId="33F1571D"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_Toc220055161 \h </w:instrText>
      </w:r>
      <w:r>
        <w:rPr>
          <w:noProof/>
        </w:rPr>
      </w:r>
      <w:r>
        <w:rPr>
          <w:noProof/>
        </w:rPr>
        <w:fldChar w:fldCharType="separate"/>
      </w:r>
      <w:r>
        <w:rPr>
          <w:noProof/>
        </w:rPr>
        <w:t>4</w:t>
      </w:r>
      <w:r>
        <w:rPr>
          <w:noProof/>
        </w:rPr>
        <w:fldChar w:fldCharType="end"/>
      </w:r>
    </w:p>
    <w:p w14:paraId="4CA7B0E7"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_Toc220055162 \h </w:instrText>
      </w:r>
      <w:r>
        <w:rPr>
          <w:noProof/>
        </w:rPr>
      </w:r>
      <w:r>
        <w:rPr>
          <w:noProof/>
        </w:rPr>
        <w:fldChar w:fldCharType="separate"/>
      </w:r>
      <w:r>
        <w:rPr>
          <w:noProof/>
        </w:rPr>
        <w:t>4</w:t>
      </w:r>
      <w:r>
        <w:rPr>
          <w:noProof/>
        </w:rPr>
        <w:fldChar w:fldCharType="end"/>
      </w:r>
    </w:p>
    <w:p w14:paraId="583A5EB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_Toc220055163 \h </w:instrText>
      </w:r>
      <w:r>
        <w:rPr>
          <w:noProof/>
        </w:rPr>
      </w:r>
      <w:r>
        <w:rPr>
          <w:noProof/>
        </w:rPr>
        <w:fldChar w:fldCharType="separate"/>
      </w:r>
      <w:r>
        <w:rPr>
          <w:noProof/>
        </w:rPr>
        <w:t>4</w:t>
      </w:r>
      <w:r>
        <w:rPr>
          <w:noProof/>
        </w:rPr>
        <w:fldChar w:fldCharType="end"/>
      </w:r>
    </w:p>
    <w:p w14:paraId="524F7EC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_Toc220055164 \h </w:instrText>
      </w:r>
      <w:r>
        <w:rPr>
          <w:noProof/>
        </w:rPr>
      </w:r>
      <w:r>
        <w:rPr>
          <w:noProof/>
        </w:rPr>
        <w:fldChar w:fldCharType="separate"/>
      </w:r>
      <w:r>
        <w:rPr>
          <w:noProof/>
        </w:rPr>
        <w:t>4</w:t>
      </w:r>
      <w:r>
        <w:rPr>
          <w:noProof/>
        </w:rPr>
        <w:fldChar w:fldCharType="end"/>
      </w:r>
    </w:p>
    <w:p w14:paraId="4EC0316C"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_Toc220055165 \h </w:instrText>
      </w:r>
      <w:r>
        <w:rPr>
          <w:noProof/>
        </w:rPr>
      </w:r>
      <w:r>
        <w:rPr>
          <w:noProof/>
        </w:rPr>
        <w:fldChar w:fldCharType="separate"/>
      </w:r>
      <w:r>
        <w:rPr>
          <w:noProof/>
        </w:rPr>
        <w:t>5</w:t>
      </w:r>
      <w:r>
        <w:rPr>
          <w:noProof/>
        </w:rPr>
        <w:fldChar w:fldCharType="end"/>
      </w:r>
    </w:p>
    <w:p w14:paraId="3E34E9D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_Toc220055166 \h </w:instrText>
      </w:r>
      <w:r>
        <w:rPr>
          <w:noProof/>
        </w:rPr>
      </w:r>
      <w:r>
        <w:rPr>
          <w:noProof/>
        </w:rPr>
        <w:fldChar w:fldCharType="separate"/>
      </w:r>
      <w:r>
        <w:rPr>
          <w:noProof/>
        </w:rPr>
        <w:t>6</w:t>
      </w:r>
      <w:r>
        <w:rPr>
          <w:noProof/>
        </w:rPr>
        <w:fldChar w:fldCharType="end"/>
      </w:r>
    </w:p>
    <w:p w14:paraId="0EFC466F"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_Toc220055167 \h </w:instrText>
      </w:r>
      <w:r>
        <w:rPr>
          <w:noProof/>
        </w:rPr>
      </w:r>
      <w:r>
        <w:rPr>
          <w:noProof/>
        </w:rPr>
        <w:fldChar w:fldCharType="separate"/>
      </w:r>
      <w:r>
        <w:rPr>
          <w:noProof/>
        </w:rPr>
        <w:t>6</w:t>
      </w:r>
      <w:r>
        <w:rPr>
          <w:noProof/>
        </w:rPr>
        <w:fldChar w:fldCharType="end"/>
      </w:r>
    </w:p>
    <w:p w14:paraId="7F26DBE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_Toc220055168 \h </w:instrText>
      </w:r>
      <w:r>
        <w:rPr>
          <w:noProof/>
        </w:rPr>
      </w:r>
      <w:r>
        <w:rPr>
          <w:noProof/>
        </w:rPr>
        <w:fldChar w:fldCharType="separate"/>
      </w:r>
      <w:r>
        <w:rPr>
          <w:noProof/>
        </w:rPr>
        <w:t>6</w:t>
      </w:r>
      <w:r>
        <w:rPr>
          <w:noProof/>
        </w:rPr>
        <w:fldChar w:fldCharType="end"/>
      </w:r>
    </w:p>
    <w:p w14:paraId="10CFF78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data</w:t>
      </w:r>
      <w:r>
        <w:rPr>
          <w:noProof/>
        </w:rPr>
        <w:tab/>
      </w:r>
      <w:r>
        <w:rPr>
          <w:noProof/>
        </w:rPr>
        <w:fldChar w:fldCharType="begin"/>
      </w:r>
      <w:r>
        <w:rPr>
          <w:noProof/>
        </w:rPr>
        <w:instrText xml:space="preserve"> PAGEREF _Toc220055169 \h </w:instrText>
      </w:r>
      <w:r>
        <w:rPr>
          <w:noProof/>
        </w:rPr>
      </w:r>
      <w:r>
        <w:rPr>
          <w:noProof/>
        </w:rPr>
        <w:fldChar w:fldCharType="separate"/>
      </w:r>
      <w:r>
        <w:rPr>
          <w:noProof/>
        </w:rPr>
        <w:t>6</w:t>
      </w:r>
      <w:r>
        <w:rPr>
          <w:noProof/>
        </w:rPr>
        <w:fldChar w:fldCharType="end"/>
      </w:r>
    </w:p>
    <w:p w14:paraId="1556D2A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_Toc220055170 \h </w:instrText>
      </w:r>
      <w:r>
        <w:rPr>
          <w:noProof/>
        </w:rPr>
      </w:r>
      <w:r>
        <w:rPr>
          <w:noProof/>
        </w:rPr>
        <w:fldChar w:fldCharType="separate"/>
      </w:r>
      <w:r>
        <w:rPr>
          <w:noProof/>
        </w:rPr>
        <w:t>6</w:t>
      </w:r>
      <w:r>
        <w:rPr>
          <w:noProof/>
        </w:rPr>
        <w:fldChar w:fldCharType="end"/>
      </w:r>
    </w:p>
    <w:p w14:paraId="3EDB17E5"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_Toc220055171 \h </w:instrText>
      </w:r>
      <w:r>
        <w:rPr>
          <w:noProof/>
        </w:rPr>
      </w:r>
      <w:r>
        <w:rPr>
          <w:noProof/>
        </w:rPr>
        <w:fldChar w:fldCharType="separate"/>
      </w:r>
      <w:r>
        <w:rPr>
          <w:noProof/>
        </w:rPr>
        <w:t>7</w:t>
      </w:r>
      <w:r>
        <w:rPr>
          <w:noProof/>
        </w:rPr>
        <w:fldChar w:fldCharType="end"/>
      </w:r>
    </w:p>
    <w:p w14:paraId="763088E0"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_Toc220055172 \h </w:instrText>
      </w:r>
      <w:r>
        <w:rPr>
          <w:noProof/>
        </w:rPr>
      </w:r>
      <w:r>
        <w:rPr>
          <w:noProof/>
        </w:rPr>
        <w:fldChar w:fldCharType="separate"/>
      </w:r>
      <w:r>
        <w:rPr>
          <w:noProof/>
        </w:rPr>
        <w:t>7</w:t>
      </w:r>
      <w:r>
        <w:rPr>
          <w:noProof/>
        </w:rPr>
        <w:fldChar w:fldCharType="end"/>
      </w:r>
    </w:p>
    <w:p w14:paraId="3EFFEDAA"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_Toc220055173 \h </w:instrText>
      </w:r>
      <w:r>
        <w:rPr>
          <w:noProof/>
        </w:rPr>
      </w:r>
      <w:r>
        <w:rPr>
          <w:noProof/>
        </w:rPr>
        <w:fldChar w:fldCharType="separate"/>
      </w:r>
      <w:r>
        <w:rPr>
          <w:noProof/>
        </w:rPr>
        <w:t>7</w:t>
      </w:r>
      <w:r>
        <w:rPr>
          <w:noProof/>
        </w:rPr>
        <w:fldChar w:fldCharType="end"/>
      </w:r>
    </w:p>
    <w:p w14:paraId="7B4D68FF"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_Toc220055174 \h </w:instrText>
      </w:r>
      <w:r>
        <w:rPr>
          <w:noProof/>
        </w:rPr>
      </w:r>
      <w:r>
        <w:rPr>
          <w:noProof/>
        </w:rPr>
        <w:fldChar w:fldCharType="separate"/>
      </w:r>
      <w:r>
        <w:rPr>
          <w:noProof/>
        </w:rPr>
        <w:t>8</w:t>
      </w:r>
      <w:r>
        <w:rPr>
          <w:noProof/>
        </w:rPr>
        <w:fldChar w:fldCharType="end"/>
      </w:r>
    </w:p>
    <w:p w14:paraId="63C20176"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_Toc220055175 \h </w:instrText>
      </w:r>
      <w:r>
        <w:rPr>
          <w:noProof/>
        </w:rPr>
      </w:r>
      <w:r>
        <w:rPr>
          <w:noProof/>
        </w:rPr>
        <w:fldChar w:fldCharType="separate"/>
      </w:r>
      <w:r>
        <w:rPr>
          <w:noProof/>
        </w:rPr>
        <w:t>9</w:t>
      </w:r>
      <w:r>
        <w:rPr>
          <w:noProof/>
        </w:rPr>
        <w:fldChar w:fldCharType="end"/>
      </w:r>
    </w:p>
    <w:p w14:paraId="24BEEB67"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_Toc220055176 \h </w:instrText>
      </w:r>
      <w:r>
        <w:rPr>
          <w:noProof/>
        </w:rPr>
      </w:r>
      <w:r>
        <w:rPr>
          <w:noProof/>
        </w:rPr>
        <w:fldChar w:fldCharType="separate"/>
      </w:r>
      <w:r>
        <w:rPr>
          <w:noProof/>
        </w:rPr>
        <w:t>9</w:t>
      </w:r>
      <w:r>
        <w:rPr>
          <w:noProof/>
        </w:rPr>
        <w:fldChar w:fldCharType="end"/>
      </w:r>
    </w:p>
    <w:p w14:paraId="4B599899"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_Toc220055177 \h </w:instrText>
      </w:r>
      <w:r>
        <w:rPr>
          <w:noProof/>
        </w:rPr>
      </w:r>
      <w:r>
        <w:rPr>
          <w:noProof/>
        </w:rPr>
        <w:fldChar w:fldCharType="separate"/>
      </w:r>
      <w:r>
        <w:rPr>
          <w:noProof/>
        </w:rPr>
        <w:t>9</w:t>
      </w:r>
      <w:r>
        <w:rPr>
          <w:noProof/>
        </w:rPr>
        <w:fldChar w:fldCharType="end"/>
      </w:r>
    </w:p>
    <w:p w14:paraId="473FF8AD"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_Toc220055178 \h </w:instrText>
      </w:r>
      <w:r>
        <w:rPr>
          <w:noProof/>
        </w:rPr>
      </w:r>
      <w:r>
        <w:rPr>
          <w:noProof/>
        </w:rPr>
        <w:fldChar w:fldCharType="separate"/>
      </w:r>
      <w:r>
        <w:rPr>
          <w:noProof/>
        </w:rPr>
        <w:t>9</w:t>
      </w:r>
      <w:r>
        <w:rPr>
          <w:noProof/>
        </w:rPr>
        <w:fldChar w:fldCharType="end"/>
      </w:r>
    </w:p>
    <w:p w14:paraId="7C33EF8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_Toc220055179 \h </w:instrText>
      </w:r>
      <w:r>
        <w:rPr>
          <w:noProof/>
        </w:rPr>
      </w:r>
      <w:r>
        <w:rPr>
          <w:noProof/>
        </w:rPr>
        <w:fldChar w:fldCharType="separate"/>
      </w:r>
      <w:r>
        <w:rPr>
          <w:noProof/>
        </w:rPr>
        <w:t>10</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1" w:name="_Toc220055159"/>
      <w:bookmarkEnd w:id="0"/>
      <w:r w:rsidRPr="00F61CBB">
        <w:lastRenderedPageBreak/>
        <w:t>Formål</w:t>
      </w:r>
      <w:bookmarkEnd w:id="1"/>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76A794C3" w:rsidR="00E237CE" w:rsidRPr="00F61CBB" w:rsidRDefault="00E237CE" w:rsidP="007D0159">
      <w:pPr>
        <w:jc w:val="left"/>
      </w:pPr>
      <w:r w:rsidRPr="00F61CBB">
        <w:t>Driftsvejledningen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ikke-responsiv.</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2" w:name="_Toc220055160"/>
      <w:r>
        <w:lastRenderedPageBreak/>
        <w:t>HAIBA LPR-databehandler</w:t>
      </w:r>
      <w:bookmarkEnd w:id="2"/>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Status URL’en kan løbende polles for at checke komponentens status.</w:t>
      </w:r>
    </w:p>
    <w:p w14:paraId="11B3B18F" w14:textId="3F731A45" w:rsidR="000E7C8C" w:rsidRPr="00F61CBB" w:rsidRDefault="007D0159" w:rsidP="00F8484F">
      <w:pPr>
        <w:pStyle w:val="Overskrift2"/>
      </w:pPr>
      <w:bookmarkStart w:id="3" w:name="_Toc220055161"/>
      <w:r>
        <w:t>LPR-databehandler</w:t>
      </w:r>
      <w:r w:rsidRPr="00F61CBB">
        <w:t xml:space="preserve"> </w:t>
      </w:r>
      <w:r w:rsidR="000E7C8C" w:rsidRPr="00F61CBB">
        <w:t>komponenter</w:t>
      </w:r>
      <w:bookmarkEnd w:id="3"/>
    </w:p>
    <w:p w14:paraId="35AF8521" w14:textId="6DCFD315" w:rsidR="003029C3" w:rsidRDefault="00903BCB" w:rsidP="00F8484F">
      <w:pPr>
        <w:pStyle w:val="Overskrift3"/>
      </w:pPr>
      <w:bookmarkStart w:id="4" w:name="_Toc220055162"/>
      <w:r>
        <w:t>LPR-databehandler</w:t>
      </w:r>
      <w:bookmarkEnd w:id="4"/>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5" w:name="_Toc220055163"/>
      <w:r>
        <w:t>LPR database</w:t>
      </w:r>
      <w:bookmarkEnd w:id="5"/>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1862D718" w14:textId="619266DD" w:rsidR="00903BCB" w:rsidRPr="00903BCB" w:rsidRDefault="00903BCB" w:rsidP="00903BCB">
      <w:pPr>
        <w:rPr>
          <w:color w:val="FF0000"/>
        </w:rPr>
      </w:pPr>
      <w:r w:rsidRPr="00903BCB">
        <w:rPr>
          <w:color w:val="FF0000"/>
        </w:rPr>
        <w:t>&lt;TODO&gt;</w:t>
      </w:r>
    </w:p>
    <w:p w14:paraId="545E0AA1" w14:textId="36CAAD30" w:rsidR="00903BCB" w:rsidRDefault="00903BCB" w:rsidP="00903BCB">
      <w:pPr>
        <w:pStyle w:val="Overskrift3"/>
      </w:pPr>
      <w:bookmarkStart w:id="6" w:name="_Toc220055164"/>
      <w:r>
        <w:t>Indlæggelses database</w:t>
      </w:r>
      <w:bookmarkEnd w:id="6"/>
    </w:p>
    <w:p w14:paraId="2D0BC828" w14:textId="77777777" w:rsidR="00AC4AEB" w:rsidRPr="00AC4AEB" w:rsidRDefault="00AC4AEB" w:rsidP="00AC4AEB">
      <w:pPr>
        <w:rPr>
          <w:b/>
        </w:rPr>
      </w:pPr>
      <w:r w:rsidRPr="00AC4AEB">
        <w:rPr>
          <w:b/>
        </w:rPr>
        <w:t>Test:</w:t>
      </w:r>
    </w:p>
    <w:p w14:paraId="380A73A2" w14:textId="77777777" w:rsidR="00AC4AEB" w:rsidRDefault="00AC4AEB" w:rsidP="00AC4AEB">
      <w:r>
        <w:t xml:space="preserve">Databaseserver ligger på host: </w:t>
      </w:r>
      <w:r w:rsidRPr="00EB139E">
        <w:rPr>
          <w:rFonts w:ascii="Courier New" w:hAnsi="Courier New" w:cs="Courier New"/>
        </w:rPr>
        <w:t>SRV-SQL-TEST01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6AAC209A" w14:textId="77777777" w:rsidR="00903BCB" w:rsidRPr="00903BCB" w:rsidRDefault="00903BCB" w:rsidP="00903BCB">
      <w:pPr>
        <w:rPr>
          <w:color w:val="FF0000"/>
        </w:rPr>
      </w:pPr>
      <w:r w:rsidRPr="00903BCB">
        <w:rPr>
          <w:color w:val="FF0000"/>
        </w:rPr>
        <w:t>&lt;TODO&gt;</w:t>
      </w:r>
    </w:p>
    <w:p w14:paraId="18B52CB9" w14:textId="77777777" w:rsidR="00903BCB" w:rsidRDefault="00903BCB" w:rsidP="00903BCB"/>
    <w:p w14:paraId="5BE38F6E" w14:textId="77777777" w:rsidR="000E7C8C" w:rsidRPr="00F61CBB" w:rsidRDefault="000E7C8C" w:rsidP="00895518">
      <w:pPr>
        <w:pStyle w:val="Overskrift1"/>
      </w:pPr>
      <w:bookmarkStart w:id="7" w:name="_Toc220055165"/>
      <w:r w:rsidRPr="00F61CBB">
        <w:lastRenderedPageBreak/>
        <w:t>Opdatering til nye versioner</w:t>
      </w:r>
      <w:bookmarkEnd w:id="7"/>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udkommer, vil der medfølge release notes som</w:t>
      </w:r>
      <w:r w:rsidRPr="00F61CBB">
        <w:t xml:space="preserve"> forklarer database-migrering, rollback-procedure,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8" w:name="_Toc220055166"/>
      <w:r w:rsidRPr="00F61CBB">
        <w:lastRenderedPageBreak/>
        <w:t>Daglig Drift</w:t>
      </w:r>
      <w:bookmarkEnd w:id="8"/>
    </w:p>
    <w:p w14:paraId="59B3EB37" w14:textId="67157FE3" w:rsidR="00E22836" w:rsidRDefault="00903BCB" w:rsidP="00E22836">
      <w:pPr>
        <w:pStyle w:val="Overskrift2"/>
      </w:pPr>
      <w:bookmarkStart w:id="9" w:name="_Toc220055167"/>
      <w:r>
        <w:t>LPR Databehandler</w:t>
      </w:r>
      <w:bookmarkEnd w:id="9"/>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10" w:name="_Toc220055168"/>
      <w:r w:rsidRPr="00F61CBB">
        <w:t>Fremgangsmåde for indlæsning af nye data</w:t>
      </w:r>
      <w:bookmarkEnd w:id="10"/>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1F08BEBD" w14:textId="70DD3687" w:rsidR="00701478" w:rsidRDefault="00701478" w:rsidP="00701478">
      <w:pPr>
        <w:pStyle w:val="Overskrift3"/>
      </w:pPr>
      <w:bookmarkStart w:id="11" w:name="_Toc220055169"/>
      <w:r w:rsidRPr="00F61CBB">
        <w:t xml:space="preserve">Eksempel for import af </w:t>
      </w:r>
      <w:r w:rsidR="00D74A53">
        <w:t>data</w:t>
      </w:r>
      <w:bookmarkEnd w:id="11"/>
    </w:p>
    <w:p w14:paraId="2D8A26A9" w14:textId="05DFCEC2" w:rsidR="00D74A53" w:rsidRDefault="00D74A53" w:rsidP="00D74A53">
      <w:pPr>
        <w:rPr>
          <w:rFonts w:cs="Arial"/>
        </w:rPr>
      </w:pPr>
      <w:r w:rsidRPr="00903BCB">
        <w:rPr>
          <w:color w:val="FF0000"/>
        </w:rPr>
        <w:t>&lt;</w:t>
      </w:r>
      <w:r>
        <w:rPr>
          <w:color w:val="FF0000"/>
        </w:rPr>
        <w:t>TODO&gt;</w:t>
      </w:r>
    </w:p>
    <w:p w14:paraId="4FA0735F" w14:textId="367ED068" w:rsidR="00334B47" w:rsidRPr="00F61CBB" w:rsidRDefault="004E039C" w:rsidP="00334B47">
      <w:pPr>
        <w:pStyle w:val="Overskrift3"/>
      </w:pPr>
      <w:bookmarkStart w:id="12" w:name="_Toc220055170"/>
      <w:r w:rsidRPr="00F61CBB">
        <w:t>Konfiguration</w:t>
      </w:r>
      <w:r w:rsidR="005B1805" w:rsidRPr="00F61CBB">
        <w:t xml:space="preserve"> af </w:t>
      </w:r>
      <w:r w:rsidR="00D74A53">
        <w:t>LPR Databehandler</w:t>
      </w:r>
      <w:bookmarkEnd w:id="12"/>
    </w:p>
    <w:p w14:paraId="5976D75B" w14:textId="77777777" w:rsidR="00334B47" w:rsidRPr="00F61CBB" w:rsidRDefault="00334B47" w:rsidP="005B1805"/>
    <w:p w14:paraId="3F30A1B7" w14:textId="2316A543" w:rsidR="00334B47" w:rsidRPr="00F61CBB" w:rsidRDefault="00D74A53" w:rsidP="00D74A53">
      <w:pPr>
        <w:jc w:val="left"/>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 xml:space="preserve">lte konfigurationsindstillinger kan overstyres ved af en </w:t>
      </w:r>
      <w:r w:rsidR="009C60C4">
        <w:lastRenderedPageBreak/>
        <w:t>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1C5424">
        <w:rPr>
          <w:rFonts w:ascii="Courier New" w:hAnsi="Courier New" w:cs="Courier New"/>
          <w:sz w:val="20"/>
          <w:szCs w:val="20"/>
        </w:rPr>
        <w:t>shared_config</w:t>
      </w:r>
      <w:proofErr w:type="spellEnd"/>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581"/>
        <w:gridCol w:w="3935"/>
      </w:tblGrid>
      <w:tr w:rsidR="00334B47" w:rsidRPr="00F61CBB" w14:paraId="4C43F397" w14:textId="77777777" w:rsidTr="001C5424">
        <w:trPr>
          <w:trHeight w:val="944"/>
        </w:trPr>
        <w:tc>
          <w:tcPr>
            <w:tcW w:w="4581" w:type="dxa"/>
          </w:tcPr>
          <w:p w14:paraId="011911F2" w14:textId="559895C0"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roofErr w:type="spellEnd"/>
          </w:p>
        </w:tc>
        <w:tc>
          <w:tcPr>
            <w:tcW w:w="3935" w:type="dxa"/>
          </w:tcPr>
          <w:p w14:paraId="39D21A33" w14:textId="1F7139CD" w:rsidR="00334B47" w:rsidRPr="00F61CBB" w:rsidRDefault="00C902F0"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proofErr w:type="spellStart"/>
            <w:r w:rsidR="00D74A53">
              <w:rPr>
                <w:rFonts w:eastAsia="Cambria" w:cs="Arial"/>
                <w:color w:val="000000"/>
              </w:rPr>
              <w:t>Tomcat</w:t>
            </w:r>
            <w:proofErr w:type="spellEnd"/>
            <w:r w:rsidR="00926EBB">
              <w:rPr>
                <w:rFonts w:eastAsia="Cambria" w:cs="Arial"/>
                <w:color w:val="000000"/>
              </w:rPr>
              <w:t xml:space="preserve">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env</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jdbc</w:t>
            </w:r>
            <w:proofErr w:type="spellEnd"/>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1C5424">
        <w:tc>
          <w:tcPr>
            <w:tcW w:w="4581" w:type="dxa"/>
          </w:tcPr>
          <w:p w14:paraId="65E4BDB9" w14:textId="4462DAD0" w:rsidR="00334B47" w:rsidRPr="00D74A53" w:rsidRDefault="00A26043" w:rsidP="00A26043">
            <w:pPr>
              <w:tabs>
                <w:tab w:val="left" w:pos="1504"/>
              </w:tabs>
              <w:rPr>
                <w:rFonts w:cs="Arial"/>
                <w:b/>
                <w:color w:val="FF0000"/>
              </w:rPr>
            </w:pPr>
            <w:proofErr w:type="spellStart"/>
            <w:r>
              <w:rPr>
                <w:rFonts w:eastAsia="Cambria" w:cs="Arial"/>
                <w:b/>
                <w:color w:val="000000"/>
              </w:rPr>
              <w:t>jdbc.haibaJNDIName</w:t>
            </w:r>
            <w:proofErr w:type="spellEnd"/>
          </w:p>
        </w:tc>
        <w:tc>
          <w:tcPr>
            <w:tcW w:w="3935" w:type="dxa"/>
          </w:tcPr>
          <w:p w14:paraId="134F4231" w14:textId="0F54036D" w:rsidR="00334B47" w:rsidRPr="00F61CBB" w:rsidRDefault="00A26043"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1C5424">
        <w:tc>
          <w:tcPr>
            <w:tcW w:w="4581" w:type="dxa"/>
          </w:tcPr>
          <w:p w14:paraId="1C7B9971" w14:textId="600E259D" w:rsidR="008D3184" w:rsidRDefault="007C39CD" w:rsidP="00A26043">
            <w:pPr>
              <w:tabs>
                <w:tab w:val="left" w:pos="1504"/>
              </w:tabs>
              <w:rPr>
                <w:rFonts w:eastAsia="Cambria" w:cs="Arial"/>
                <w:b/>
                <w:color w:val="000000"/>
              </w:rPr>
            </w:pPr>
            <w:proofErr w:type="spellStart"/>
            <w:r>
              <w:rPr>
                <w:rFonts w:eastAsia="Cambria" w:cs="Arial"/>
                <w:b/>
                <w:color w:val="000000"/>
              </w:rPr>
              <w:t>jdbc.dialect</w:t>
            </w:r>
            <w:proofErr w:type="spellEnd"/>
          </w:p>
        </w:tc>
        <w:tc>
          <w:tcPr>
            <w:tcW w:w="3935" w:type="dxa"/>
          </w:tcPr>
          <w:p w14:paraId="4CBA4936" w14:textId="2E6911C0" w:rsidR="008D3184" w:rsidRDefault="007C39CD" w:rsidP="00A26043">
            <w:pPr>
              <w:rPr>
                <w:rFonts w:eastAsia="Cambria" w:cs="Arial"/>
                <w:color w:val="000000"/>
              </w:rPr>
            </w:pPr>
            <w:r>
              <w:rPr>
                <w:rFonts w:eastAsia="Cambria" w:cs="Arial"/>
                <w:color w:val="000000"/>
              </w:rPr>
              <w:t>Hvilken type database LPR-</w:t>
            </w:r>
            <w:proofErr w:type="spellStart"/>
            <w:r>
              <w:rPr>
                <w:rFonts w:eastAsia="Cambria" w:cs="Arial"/>
                <w:color w:val="000000"/>
              </w:rPr>
              <w:t>importeren</w:t>
            </w:r>
            <w:proofErr w:type="spellEnd"/>
            <w:r>
              <w:rPr>
                <w:rFonts w:eastAsia="Cambria" w:cs="Arial"/>
                <w:color w:val="000000"/>
              </w:rPr>
              <w:t xml:space="preserve"> bruger, værdier er "</w:t>
            </w:r>
            <w:proofErr w:type="spellStart"/>
            <w:r>
              <w:rPr>
                <w:rFonts w:eastAsia="Cambria" w:cs="Arial"/>
                <w:color w:val="000000"/>
              </w:rPr>
              <w:t>MySQL</w:t>
            </w:r>
            <w:proofErr w:type="spellEnd"/>
            <w:r>
              <w:rPr>
                <w:rFonts w:eastAsia="Cambria" w:cs="Arial"/>
                <w:color w:val="000000"/>
              </w:rPr>
              <w:t>" eller "MSSQL"</w:t>
            </w:r>
          </w:p>
        </w:tc>
      </w:tr>
      <w:tr w:rsidR="00E06A02" w:rsidRPr="00F61CBB" w14:paraId="4B90115C" w14:textId="77777777" w:rsidTr="001C5424">
        <w:tc>
          <w:tcPr>
            <w:tcW w:w="4581" w:type="dxa"/>
          </w:tcPr>
          <w:p w14:paraId="38865290" w14:textId="385A8638" w:rsidR="00E06A02" w:rsidRDefault="00E06A02" w:rsidP="00A26043">
            <w:pPr>
              <w:tabs>
                <w:tab w:val="left" w:pos="1504"/>
              </w:tabs>
              <w:rPr>
                <w:rFonts w:eastAsia="Cambria" w:cs="Arial"/>
                <w:b/>
                <w:color w:val="000000"/>
              </w:rPr>
            </w:pPr>
            <w:proofErr w:type="spellStart"/>
            <w:r>
              <w:rPr>
                <w:rFonts w:eastAsia="Cambria" w:cs="Arial"/>
                <w:b/>
                <w:color w:val="000000"/>
              </w:rPr>
              <w:t>disable.database.errorlog</w:t>
            </w:r>
            <w:proofErr w:type="spellEnd"/>
          </w:p>
        </w:tc>
        <w:tc>
          <w:tcPr>
            <w:tcW w:w="3935" w:type="dxa"/>
          </w:tcPr>
          <w:p w14:paraId="141A2F2A" w14:textId="4893E073" w:rsidR="00E06A02" w:rsidRDefault="00E06A02" w:rsidP="00A26043">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r w:rsidR="001C5424" w:rsidRPr="00F61CBB" w14:paraId="3B947452" w14:textId="77777777" w:rsidTr="001C5424">
        <w:tc>
          <w:tcPr>
            <w:tcW w:w="4581" w:type="dxa"/>
          </w:tcPr>
          <w:p w14:paraId="5650999A" w14:textId="3C8A0D7F" w:rsidR="001C5424" w:rsidRDefault="001C5424" w:rsidP="00A26043">
            <w:pPr>
              <w:tabs>
                <w:tab w:val="left" w:pos="1504"/>
              </w:tabs>
              <w:rPr>
                <w:rFonts w:eastAsia="Cambria" w:cs="Arial"/>
                <w:b/>
                <w:color w:val="000000"/>
              </w:rPr>
            </w:pPr>
            <w:proofErr w:type="spellStart"/>
            <w:r>
              <w:rPr>
                <w:rFonts w:eastAsia="Cambria" w:cs="Arial"/>
                <w:b/>
                <w:color w:val="000000"/>
              </w:rPr>
              <w:t>hours.between.contacts.same.hospital</w:t>
            </w:r>
            <w:proofErr w:type="spellEnd"/>
          </w:p>
        </w:tc>
        <w:tc>
          <w:tcPr>
            <w:tcW w:w="3935" w:type="dxa"/>
          </w:tcPr>
          <w:p w14:paraId="6D218FBF" w14:textId="08A60AB1" w:rsidR="001C5424" w:rsidRDefault="001C5424" w:rsidP="001C5424">
            <w:pPr>
              <w:rPr>
                <w:rFonts w:eastAsia="Cambria" w:cs="Arial"/>
                <w:color w:val="000000"/>
              </w:rPr>
            </w:pPr>
            <w:r>
              <w:rPr>
                <w:rFonts w:eastAsia="Cambria" w:cs="Arial"/>
                <w:color w:val="000000"/>
              </w:rPr>
              <w:t xml:space="preserve">Max. antallet af timer mellem LPR kontakter for samme person og fra samme hospital før det skal betragtes som en indlæggelse. Default værdien er 4 -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1C5424" w:rsidRPr="00F61CBB" w14:paraId="20F819B3" w14:textId="77777777" w:rsidTr="001C5424">
        <w:tc>
          <w:tcPr>
            <w:tcW w:w="4581" w:type="dxa"/>
          </w:tcPr>
          <w:p w14:paraId="2580E1EE" w14:textId="030770EC" w:rsidR="001C5424" w:rsidRDefault="001C5424" w:rsidP="001C5424">
            <w:pPr>
              <w:tabs>
                <w:tab w:val="left" w:pos="1504"/>
              </w:tabs>
              <w:rPr>
                <w:rFonts w:eastAsia="Cambria" w:cs="Arial"/>
                <w:b/>
                <w:color w:val="000000"/>
              </w:rPr>
            </w:pPr>
            <w:proofErr w:type="spellStart"/>
            <w:r>
              <w:rPr>
                <w:rFonts w:eastAsia="Cambria" w:cs="Arial"/>
                <w:b/>
                <w:color w:val="000000"/>
              </w:rPr>
              <w:t>hours.between.contacts.different.hospital</w:t>
            </w:r>
            <w:proofErr w:type="spellEnd"/>
          </w:p>
        </w:tc>
        <w:tc>
          <w:tcPr>
            <w:tcW w:w="3935" w:type="dxa"/>
          </w:tcPr>
          <w:p w14:paraId="5C681B9C" w14:textId="47A73B04" w:rsidR="001C5424" w:rsidRDefault="001C5424" w:rsidP="001C5424">
            <w:pPr>
              <w:jc w:val="left"/>
              <w:rPr>
                <w:rFonts w:eastAsia="Cambria" w:cs="Arial"/>
                <w:color w:val="000000"/>
              </w:rPr>
            </w:pPr>
            <w:r>
              <w:rPr>
                <w:rFonts w:eastAsia="Cambria" w:cs="Arial"/>
                <w:color w:val="000000"/>
              </w:rPr>
              <w:t xml:space="preserve">Max. antallet af timer mellem LPR kontakter for samme person og fra forskellige hospitaler før det skal betragtes som en indlæggelse. Default værdien er 10 -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bl>
    <w:p w14:paraId="2C7D896F" w14:textId="77777777" w:rsidR="00D4562B" w:rsidRDefault="00D4562B" w:rsidP="00D4562B"/>
    <w:p w14:paraId="189B170F" w14:textId="69710993" w:rsidR="00043B34" w:rsidRPr="00043B34" w:rsidRDefault="00043B34" w:rsidP="00043B34">
      <w:pPr>
        <w:pStyle w:val="Overskrift2"/>
      </w:pPr>
      <w:bookmarkStart w:id="13" w:name="_Toc220055171"/>
      <w:r w:rsidRPr="00043B34">
        <w:t>Database</w:t>
      </w:r>
      <w:r w:rsidR="00D74A53">
        <w:t>r</w:t>
      </w:r>
      <w:bookmarkEnd w:id="13"/>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14" w:name="_Toc220055172"/>
      <w:r w:rsidRPr="00043B34">
        <w:t>Skema</w:t>
      </w:r>
      <w:r w:rsidR="00A26043">
        <w:t>filer</w:t>
      </w:r>
      <w:r w:rsidR="00D74A53">
        <w:t xml:space="preserve"> database</w:t>
      </w:r>
      <w:r w:rsidR="00A26043">
        <w:t>n</w:t>
      </w:r>
      <w:bookmarkEnd w:id="14"/>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AB38EB" w:rsidP="00A26043">
      <w:pPr>
        <w:rPr>
          <w:rFonts w:ascii="Courier New" w:hAnsi="Courier New" w:cs="Courier New"/>
        </w:rPr>
      </w:pPr>
      <w:hyperlink r:id="rId10"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lastRenderedPageBreak/>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15" w:name="_Toc220055173"/>
      <w:r w:rsidRPr="00043B34">
        <w:t>Databaseopsætning</w:t>
      </w:r>
      <w:bookmarkEnd w:id="15"/>
    </w:p>
    <w:p w14:paraId="7DDA7C52" w14:textId="77777777" w:rsidR="00D74A53" w:rsidRDefault="00D74A53" w:rsidP="00D74A53"/>
    <w:p w14:paraId="259B88D4" w14:textId="67B3E6E6" w:rsidR="007C39CD" w:rsidRPr="007C39CD" w:rsidRDefault="007C39CD" w:rsidP="00D74A53">
      <w:pPr>
        <w:rPr>
          <w:color w:val="FF0000"/>
        </w:rPr>
      </w:pPr>
      <w:r w:rsidRPr="007C39CD">
        <w:rPr>
          <w:color w:val="FF0000"/>
        </w:rPr>
        <w:t>&lt;TODO, beskriv disse hvis der er nogen&gt;</w:t>
      </w:r>
    </w:p>
    <w:p w14:paraId="102C3AA6" w14:textId="57F5701A" w:rsidR="00043B34" w:rsidRPr="00043B34" w:rsidRDefault="00043B34" w:rsidP="00043B34">
      <w:pPr>
        <w:rPr>
          <w:rFonts w:cs="Arial"/>
        </w:rPr>
      </w:pPr>
      <w:r w:rsidRPr="00043B34">
        <w:rPr>
          <w:rFonts w:cs="Arial"/>
        </w:rPr>
        <w:t>Følgende indstillinger b</w:t>
      </w:r>
      <w:r w:rsidR="00D74A53">
        <w:rPr>
          <w:rFonts w:cs="Arial"/>
        </w:rPr>
        <w:t>ør sættes specielt i databasen:</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12D8E37A" w:rsidR="00043B34" w:rsidRPr="00D74A53" w:rsidRDefault="00043B34" w:rsidP="008D0895">
            <w:pPr>
              <w:rPr>
                <w:rFonts w:asciiTheme="majorHAnsi" w:hAnsiTheme="majorHAnsi"/>
                <w:color w:val="FF0000"/>
              </w:rPr>
            </w:pPr>
          </w:p>
        </w:tc>
        <w:tc>
          <w:tcPr>
            <w:tcW w:w="2813" w:type="dxa"/>
          </w:tcPr>
          <w:p w14:paraId="5E5859D4" w14:textId="52D1CB2A" w:rsidR="00043B34" w:rsidRDefault="00043B34" w:rsidP="008D0895">
            <w:pPr>
              <w:rPr>
                <w:rFonts w:asciiTheme="majorHAnsi" w:hAnsiTheme="majorHAnsi"/>
              </w:rPr>
            </w:pPr>
          </w:p>
        </w:tc>
        <w:tc>
          <w:tcPr>
            <w:tcW w:w="2814" w:type="dxa"/>
          </w:tcPr>
          <w:p w14:paraId="7E7B0C6D" w14:textId="41E03EB0" w:rsidR="00043B34" w:rsidRDefault="00043B34" w:rsidP="008D0895">
            <w:pPr>
              <w:rPr>
                <w:rFonts w:asciiTheme="majorHAnsi" w:hAnsiTheme="majorHAnsi"/>
              </w:rPr>
            </w:pPr>
          </w:p>
        </w:tc>
      </w:tr>
    </w:tbl>
    <w:p w14:paraId="3DB385E4" w14:textId="78D58A27" w:rsidR="00043B34" w:rsidRPr="00D74A53" w:rsidRDefault="00043B34" w:rsidP="00043B34">
      <w:pPr>
        <w:rPr>
          <w:rFonts w:asciiTheme="majorHAnsi" w:hAnsiTheme="majorHAnsi"/>
          <w:color w:val="FF0000"/>
        </w:rPr>
      </w:pPr>
    </w:p>
    <w:p w14:paraId="2B244A48" w14:textId="77777777" w:rsidR="00617BD9" w:rsidRDefault="00EE4AFC" w:rsidP="009F1E19">
      <w:pPr>
        <w:pStyle w:val="Overskrift1"/>
      </w:pPr>
      <w:bookmarkStart w:id="16" w:name="_Toc220055174"/>
      <w:r>
        <w:lastRenderedPageBreak/>
        <w:t>B</w:t>
      </w:r>
      <w:r w:rsidR="00617BD9" w:rsidRPr="00F61CBB">
        <w:t>ackup</w:t>
      </w:r>
      <w:bookmarkEnd w:id="16"/>
    </w:p>
    <w:p w14:paraId="1A54597E" w14:textId="77777777" w:rsidR="00AB38EB" w:rsidRDefault="00AB38EB" w:rsidP="00AB38EB">
      <w:pPr>
        <w:jc w:val="left"/>
        <w:rPr>
          <w:rFonts w:asciiTheme="majorHAnsi" w:hAnsiTheme="majorHAnsi"/>
        </w:rPr>
      </w:pPr>
      <w:r>
        <w:rPr>
          <w:rFonts w:asciiTheme="majorHAnsi" w:hAnsiTheme="majorHAnsi"/>
        </w:rPr>
        <w:t xml:space="preserve">LPR databehandlere kan reetableres ud fra installations og driftsvejledning i tilfælde af nedbrud. </w:t>
      </w:r>
    </w:p>
    <w:p w14:paraId="4040B493" w14:textId="5345D25B" w:rsidR="00AB38EB" w:rsidRPr="00AB38EB" w:rsidRDefault="00AB38EB" w:rsidP="00AB38EB">
      <w:pPr>
        <w:jc w:val="left"/>
        <w:rPr>
          <w:rFonts w:asciiTheme="majorHAnsi" w:hAnsiTheme="majorHAnsi"/>
        </w:rPr>
      </w:pPr>
      <w:r>
        <w:rPr>
          <w:rFonts w:asciiTheme="majorHAnsi" w:hAnsiTheme="majorHAnsi"/>
        </w:rPr>
        <w:t xml:space="preserve">Man skal dog i tilfælde af ændringer til konfigurationsindstiller sørge for at de bliver noteret ned i dokumenterne således det er nemt at </w:t>
      </w:r>
      <w:proofErr w:type="spellStart"/>
      <w:r>
        <w:rPr>
          <w:rFonts w:asciiTheme="majorHAnsi" w:hAnsiTheme="majorHAnsi"/>
        </w:rPr>
        <w:t>re-etablere</w:t>
      </w:r>
      <w:proofErr w:type="spellEnd"/>
      <w:r>
        <w:rPr>
          <w:rFonts w:asciiTheme="majorHAnsi" w:hAnsiTheme="majorHAnsi"/>
        </w:rPr>
        <w:t xml:space="preserve"> systemet.</w:t>
      </w:r>
    </w:p>
    <w:p w14:paraId="0D5C489E" w14:textId="77777777" w:rsidR="00AB38EB" w:rsidRDefault="00AB38EB" w:rsidP="00AB38EB">
      <w:pPr>
        <w:jc w:val="left"/>
        <w:rPr>
          <w:rFonts w:asciiTheme="majorHAnsi" w:hAnsiTheme="majorHAnsi"/>
          <w:color w:val="FF0000"/>
        </w:rPr>
      </w:pPr>
    </w:p>
    <w:p w14:paraId="68A60200" w14:textId="39A5A81F" w:rsidR="00AB38EB" w:rsidRDefault="00AB38EB" w:rsidP="00AB38EB">
      <w:pPr>
        <w:jc w:val="left"/>
        <w:rPr>
          <w:rFonts w:asciiTheme="majorHAnsi" w:hAnsiTheme="majorHAnsi"/>
        </w:rPr>
      </w:pPr>
      <w:r w:rsidRPr="00AB38EB">
        <w:rPr>
          <w:rFonts w:asciiTheme="majorHAnsi" w:hAnsiTheme="majorHAnsi"/>
        </w:rPr>
        <w:t xml:space="preserve">Data kan </w:t>
      </w:r>
      <w:proofErr w:type="spellStart"/>
      <w:r w:rsidRPr="00AB38EB">
        <w:rPr>
          <w:rFonts w:asciiTheme="majorHAnsi" w:hAnsiTheme="majorHAnsi"/>
        </w:rPr>
        <w:t>re-etableres</w:t>
      </w:r>
      <w:proofErr w:type="spellEnd"/>
      <w:r>
        <w:rPr>
          <w:rFonts w:asciiTheme="majorHAnsi" w:hAnsiTheme="majorHAnsi"/>
        </w:rPr>
        <w:t xml:space="preserve"> ved at genbehandle LPR data, men </w:t>
      </w:r>
      <w:r w:rsidR="007B52EB">
        <w:rPr>
          <w:rFonts w:asciiTheme="majorHAnsi" w:hAnsiTheme="majorHAnsi"/>
        </w:rPr>
        <w:t xml:space="preserve">da der er meget data der skal behandles kan dette tage lang tid </w:t>
      </w:r>
      <w:r w:rsidR="007B52EB" w:rsidRPr="007B52EB">
        <w:rPr>
          <w:rFonts w:asciiTheme="majorHAnsi" w:hAnsiTheme="majorHAnsi"/>
          <w:color w:val="FF0000"/>
        </w:rPr>
        <w:t>&lt;</w:t>
      </w:r>
      <w:r w:rsidR="007B52EB">
        <w:rPr>
          <w:rFonts w:asciiTheme="majorHAnsi" w:hAnsiTheme="majorHAnsi"/>
          <w:color w:val="FF0000"/>
        </w:rPr>
        <w:t>TODO, når der er lavet en måling give et estimat hvor lang tid det vil tage</w:t>
      </w:r>
      <w:r w:rsidR="007B52EB" w:rsidRPr="007B52EB">
        <w:rPr>
          <w:rFonts w:asciiTheme="majorHAnsi" w:hAnsiTheme="majorHAnsi"/>
          <w:color w:val="FF0000"/>
        </w:rPr>
        <w:t>&gt;</w:t>
      </w:r>
      <w:r w:rsidR="007B52EB">
        <w:rPr>
          <w:rFonts w:asciiTheme="majorHAnsi" w:hAnsiTheme="majorHAnsi"/>
        </w:rPr>
        <w:t xml:space="preserve">  derfor kan det være en god ide at tage backup af HAIBA databasen, sammen med det bør der også tages backup af LPR T_ADM tabellen, da databehandlere indsætter et tidsstempel for hvornår data er behandlet.</w:t>
      </w:r>
    </w:p>
    <w:p w14:paraId="11746725" w14:textId="77777777" w:rsidR="007B52EB" w:rsidRDefault="007B52EB" w:rsidP="00AB38EB">
      <w:pPr>
        <w:jc w:val="left"/>
        <w:rPr>
          <w:rFonts w:asciiTheme="majorHAnsi" w:hAnsiTheme="majorHAnsi"/>
        </w:rPr>
      </w:pPr>
    </w:p>
    <w:p w14:paraId="3321FE1E" w14:textId="68348CA3" w:rsidR="00D74A53" w:rsidRPr="00D74A53" w:rsidRDefault="00D74A53" w:rsidP="00D74A53">
      <w:r w:rsidRPr="00D74A53">
        <w:rPr>
          <w:rFonts w:asciiTheme="majorHAnsi" w:hAnsiTheme="majorHAnsi"/>
          <w:color w:val="FF0000"/>
        </w:rPr>
        <w:t>&lt;TODO</w:t>
      </w:r>
      <w:r w:rsidR="007B52EB">
        <w:rPr>
          <w:rFonts w:asciiTheme="majorHAnsi" w:hAnsiTheme="majorHAnsi"/>
          <w:color w:val="FF0000"/>
        </w:rPr>
        <w:t xml:space="preserve">, henvis til </w:t>
      </w:r>
      <w:proofErr w:type="spellStart"/>
      <w:r w:rsidR="007B52EB">
        <w:rPr>
          <w:rFonts w:asciiTheme="majorHAnsi" w:hAnsiTheme="majorHAnsi"/>
          <w:color w:val="FF0000"/>
        </w:rPr>
        <w:t>drifstafdelingens</w:t>
      </w:r>
      <w:proofErr w:type="spellEnd"/>
      <w:r w:rsidR="007B52EB">
        <w:rPr>
          <w:rFonts w:asciiTheme="majorHAnsi" w:hAnsiTheme="majorHAnsi"/>
          <w:color w:val="FF0000"/>
        </w:rPr>
        <w:t xml:space="preserve"> procedurer for backup af data.</w:t>
      </w:r>
      <w:bookmarkStart w:id="17" w:name="_GoBack"/>
      <w:bookmarkEnd w:id="17"/>
      <w:r w:rsidRPr="00D74A53">
        <w:rPr>
          <w:rFonts w:asciiTheme="majorHAnsi" w:hAnsiTheme="majorHAnsi"/>
          <w:color w:val="FF0000"/>
        </w:rPr>
        <w:t>&gt;</w:t>
      </w:r>
    </w:p>
    <w:p w14:paraId="256B1E89" w14:textId="2C6E114F" w:rsidR="00617BD9" w:rsidRPr="00F61CBB" w:rsidRDefault="00617BD9" w:rsidP="00617BD9"/>
    <w:p w14:paraId="197F3E78" w14:textId="77777777" w:rsidR="000E7C8C" w:rsidRPr="00F61CBB" w:rsidRDefault="000E7C8C" w:rsidP="000E7C8C">
      <w:pPr>
        <w:pStyle w:val="Overskrift1"/>
      </w:pPr>
      <w:bookmarkStart w:id="18" w:name="_Toc220055175"/>
      <w:r w:rsidRPr="00F61CBB">
        <w:lastRenderedPageBreak/>
        <w:t>Overvågning</w:t>
      </w:r>
      <w:bookmarkEnd w:id="18"/>
    </w:p>
    <w:p w14:paraId="418C4D1F" w14:textId="42FED2DE" w:rsidR="000E7C8C" w:rsidRPr="00F61CBB" w:rsidRDefault="000E7C8C" w:rsidP="000E7C8C">
      <w:pPr>
        <w:pStyle w:val="Overskrift2"/>
      </w:pPr>
      <w:bookmarkStart w:id="19" w:name="_Toc220055176"/>
      <w:r w:rsidRPr="00F61CBB">
        <w:t>Statusside</w:t>
      </w:r>
      <w:bookmarkEnd w:id="19"/>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20" w:name="_Toc220055177"/>
      <w:r w:rsidRPr="00F61CBB">
        <w:t>Log</w:t>
      </w:r>
      <w:r w:rsidR="00914834">
        <w:t>ning</w:t>
      </w:r>
      <w:bookmarkEnd w:id="20"/>
    </w:p>
    <w:p w14:paraId="61399851" w14:textId="079D0AB1" w:rsidR="00D74A53" w:rsidRPr="00D74A53" w:rsidRDefault="00D74A53" w:rsidP="00D74A53">
      <w:pPr>
        <w:rPr>
          <w:rFonts w:ascii="Courier New" w:hAnsi="Courier New" w:cs="Courier New"/>
          <w:color w:val="FF0000"/>
        </w:rPr>
      </w:pPr>
      <w:r w:rsidRPr="00D74A53">
        <w:rPr>
          <w:color w:val="FF0000"/>
        </w:rPr>
        <w:t>&lt;TODO, beskriv log opsætning, og hvordan den konfigureres&gt;</w:t>
      </w:r>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21" w:name="_Toc220055178"/>
      <w:r>
        <w:t>F</w:t>
      </w:r>
      <w:r w:rsidR="009166F2" w:rsidRPr="00F61CBB">
        <w:t>ejlsøgning</w:t>
      </w:r>
      <w:bookmarkEnd w:id="21"/>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64F36963" w14:textId="5F4F6F13" w:rsidR="00D74A53" w:rsidRPr="00D74A53" w:rsidRDefault="00D74A53" w:rsidP="000E7C8C">
      <w:pPr>
        <w:rPr>
          <w:color w:val="FF0000"/>
        </w:rPr>
      </w:pPr>
      <w:r w:rsidRPr="00D74A53">
        <w:rPr>
          <w:color w:val="FF0000"/>
        </w:rPr>
        <w:t>&lt;TODO beskriv typiske fejl som kan ses i logfilen&gt;</w:t>
      </w:r>
    </w:p>
    <w:p w14:paraId="6DBC961B" w14:textId="77777777" w:rsidR="000E7C8C" w:rsidRDefault="000E7C8C">
      <w:pPr>
        <w:spacing w:line="240" w:lineRule="auto"/>
        <w:jc w:val="left"/>
      </w:pPr>
    </w:p>
    <w:p w14:paraId="331A8B73" w14:textId="22C4C534" w:rsidR="007C39CD" w:rsidRPr="00F61CBB" w:rsidRDefault="007C39CD" w:rsidP="007C39CD">
      <w:pPr>
        <w:pStyle w:val="Overskrift1"/>
      </w:pPr>
      <w:r>
        <w:lastRenderedPageBreak/>
        <w:t>Fejlhåndtering fra forretningsregler</w:t>
      </w:r>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 xml:space="preserve">Fejlhåndteringen sørger for at logge disse fejl til både en tabel og til </w:t>
      </w:r>
      <w:proofErr w:type="spellStart"/>
      <w:r>
        <w:t>log-filer</w:t>
      </w:r>
      <w:proofErr w:type="spellEnd"/>
      <w:r>
        <w:t>.</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r>
        <w:t>Fejlbeskrivelse</w:t>
      </w:r>
    </w:p>
    <w:p w14:paraId="546F2184" w14:textId="77777777" w:rsidR="007C39CD" w:rsidRDefault="007C39CD">
      <w:pPr>
        <w:spacing w:line="240" w:lineRule="auto"/>
        <w:jc w:val="left"/>
      </w:pPr>
    </w:p>
    <w:p w14:paraId="43C600B4" w14:textId="6870CC41" w:rsidR="007C39CD" w:rsidRDefault="00CA4E3F">
      <w:pPr>
        <w:spacing w:line="240" w:lineRule="auto"/>
        <w:jc w:val="left"/>
      </w:pPr>
      <w:r w:rsidRPr="00CA4E3F">
        <w:rPr>
          <w:noProof/>
          <w:lang w:val="en-US"/>
        </w:rPr>
        <w:drawing>
          <wp:anchor distT="0" distB="0" distL="114300" distR="114300" simplePos="0" relativeHeight="251661312" behindDoc="0" locked="0" layoutInCell="1" allowOverlap="1" wp14:anchorId="3D92B7EC" wp14:editId="3527005E">
            <wp:simplePos x="0" y="0"/>
            <wp:positionH relativeFrom="column">
              <wp:posOffset>280035</wp:posOffset>
            </wp:positionH>
            <wp:positionV relativeFrom="paragraph">
              <wp:posOffset>160655</wp:posOffset>
            </wp:positionV>
            <wp:extent cx="2223135" cy="1648460"/>
            <wp:effectExtent l="0" t="0" r="0" b="0"/>
            <wp:wrapThrough wrapText="bothSides">
              <wp:wrapPolygon edited="0">
                <wp:start x="0" y="0"/>
                <wp:lineTo x="0" y="21300"/>
                <wp:lineTo x="21470" y="21300"/>
                <wp:lineTo x="21470"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9CD">
        <w:t>Tabel layout er:</w:t>
      </w:r>
    </w:p>
    <w:p w14:paraId="136A87FA" w14:textId="23EA23EC" w:rsidR="00CA4E3F" w:rsidRDefault="00CA4E3F">
      <w:pPr>
        <w:spacing w:line="240" w:lineRule="auto"/>
        <w:jc w:val="left"/>
      </w:pPr>
    </w:p>
    <w:p w14:paraId="78EF3D4F" w14:textId="77777777" w:rsidR="00CA4E3F" w:rsidRDefault="00CA4E3F">
      <w:pPr>
        <w:spacing w:line="240" w:lineRule="auto"/>
        <w:jc w:val="left"/>
      </w:pPr>
    </w:p>
    <w:p w14:paraId="0D100872" w14:textId="77777777" w:rsidR="00CA4E3F" w:rsidRDefault="00CA4E3F">
      <w:pPr>
        <w:spacing w:line="240" w:lineRule="auto"/>
        <w:jc w:val="left"/>
      </w:pPr>
    </w:p>
    <w:p w14:paraId="3B20C3EC" w14:textId="77777777" w:rsidR="00CA4E3F" w:rsidRDefault="00CA4E3F">
      <w:pPr>
        <w:spacing w:line="240" w:lineRule="auto"/>
        <w:jc w:val="left"/>
      </w:pPr>
    </w:p>
    <w:p w14:paraId="73090BA6" w14:textId="77777777" w:rsidR="00CA4E3F" w:rsidRDefault="00CA4E3F">
      <w:pPr>
        <w:spacing w:line="240" w:lineRule="auto"/>
        <w:jc w:val="left"/>
      </w:pPr>
    </w:p>
    <w:p w14:paraId="3D10D41E" w14:textId="77777777" w:rsidR="00CA4E3F" w:rsidRDefault="00CA4E3F">
      <w:pPr>
        <w:spacing w:line="240" w:lineRule="auto"/>
        <w:jc w:val="left"/>
      </w:pPr>
    </w:p>
    <w:p w14:paraId="49A663A1" w14:textId="77777777" w:rsidR="00CA4E3F" w:rsidRDefault="00CA4E3F">
      <w:pPr>
        <w:spacing w:line="240" w:lineRule="auto"/>
        <w:jc w:val="left"/>
      </w:pPr>
    </w:p>
    <w:p w14:paraId="0F490470" w14:textId="77777777" w:rsidR="00CA4E3F" w:rsidRDefault="00CA4E3F">
      <w:pPr>
        <w:spacing w:line="240" w:lineRule="auto"/>
        <w:jc w:val="left"/>
      </w:pPr>
    </w:p>
    <w:p w14:paraId="4CBE8511" w14:textId="77777777" w:rsidR="00CA4E3F" w:rsidRDefault="00CA4E3F">
      <w:pPr>
        <w:spacing w:line="240" w:lineRule="auto"/>
        <w:jc w:val="left"/>
      </w:pPr>
    </w:p>
    <w:p w14:paraId="4403BAE9" w14:textId="77777777" w:rsidR="00CA4E3F" w:rsidRDefault="00CA4E3F">
      <w:pPr>
        <w:spacing w:line="240" w:lineRule="auto"/>
        <w:jc w:val="left"/>
      </w:pP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565AC3CD"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w:t>
      </w:r>
      <w:proofErr w:type="spellStart"/>
      <w:r>
        <w:rPr>
          <w:rFonts w:ascii="Courier New" w:eastAsia="Cambria" w:hAnsi="Courier New" w:cs="Courier New"/>
          <w:sz w:val="20"/>
          <w:szCs w:val="20"/>
          <w:lang w:val="en-US"/>
        </w:rPr>
        <w:t>Datotidsstempel</w:t>
      </w:r>
      <w:proofErr w:type="spellEnd"/>
      <w:r>
        <w:rPr>
          <w:rFonts w:ascii="Courier New" w:eastAsia="Cambria" w:hAnsi="Courier New" w:cs="Courier New"/>
          <w:sz w:val="20"/>
          <w:szCs w:val="20"/>
          <w:lang w:val="en-US"/>
        </w:rPr>
        <w:t>&gt;</w:t>
      </w:r>
      <w:r w:rsidRPr="00CA4E3F">
        <w:rPr>
          <w:rFonts w:ascii="Courier New" w:eastAsia="Cambria" w:hAnsi="Courier New" w:cs="Courier New"/>
          <w:sz w:val="20"/>
          <w:szCs w:val="20"/>
          <w:lang w:val="en-US"/>
        </w:rPr>
        <w:t xml:space="preserve"> [INFO] </w:t>
      </w:r>
      <w:proofErr w:type="spellStart"/>
      <w:r w:rsidRPr="00CA4E3F">
        <w:rPr>
          <w:rFonts w:ascii="Courier New" w:eastAsia="Cambria" w:hAnsi="Courier New" w:cs="Courier New"/>
          <w:sz w:val="20"/>
          <w:szCs w:val="20"/>
          <w:lang w:val="en-US"/>
        </w:rPr>
        <w:t>BusinessRulesErrors</w:t>
      </w:r>
      <w:proofErr w:type="spellEnd"/>
      <w:r w:rsidRPr="00CA4E3F">
        <w:rPr>
          <w:rFonts w:ascii="Courier New" w:eastAsia="Cambria" w:hAnsi="Courier New" w:cs="Courier New"/>
          <w:sz w:val="20"/>
          <w:szCs w:val="20"/>
          <w:lang w:val="en-US"/>
        </w:rPr>
        <w:t xml:space="preserve"> - LPR </w:t>
      </w:r>
      <w:proofErr w:type="spellStart"/>
      <w:r w:rsidRPr="00CA4E3F">
        <w:rPr>
          <w:rFonts w:ascii="Courier New" w:eastAsia="Cambria" w:hAnsi="Courier New" w:cs="Courier New"/>
          <w:color w:val="000000"/>
          <w:sz w:val="20"/>
          <w:szCs w:val="20"/>
          <w:u w:val="single"/>
          <w:lang w:val="en-US"/>
        </w:rPr>
        <w:t>Recordnummer</w:t>
      </w:r>
      <w:proofErr w:type="spellEnd"/>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proofErr w:type="spellStart"/>
      <w:r w:rsidRPr="00CA4E3F">
        <w:rPr>
          <w:rFonts w:ascii="Courier New" w:eastAsia="Cambria" w:hAnsi="Courier New" w:cs="Courier New"/>
          <w:color w:val="000000"/>
          <w:sz w:val="20"/>
          <w:szCs w:val="20"/>
          <w:u w:val="single"/>
          <w:lang w:val="en-US"/>
        </w:rPr>
        <w:t>fejlbesked</w:t>
      </w:r>
      <w:proofErr w:type="spellEnd"/>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631CA6" w14:paraId="53BF9009" w14:textId="77777777" w:rsidTr="00631CA6">
        <w:tc>
          <w:tcPr>
            <w:tcW w:w="4220" w:type="dxa"/>
          </w:tcPr>
          <w:p w14:paraId="5BEA6F6C" w14:textId="0AD17FBE" w:rsidR="00631CA6" w:rsidRDefault="00631CA6">
            <w:pPr>
              <w:spacing w:line="240" w:lineRule="auto"/>
              <w:jc w:val="left"/>
            </w:pPr>
            <w:r>
              <w:t xml:space="preserve">LPR </w:t>
            </w:r>
            <w:proofErr w:type="spellStart"/>
            <w:r>
              <w:t>recordnummer</w:t>
            </w:r>
            <w:proofErr w:type="spellEnd"/>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740ABCF4" w:rsidR="00631CA6" w:rsidRDefault="00631CA6" w:rsidP="00631CA6">
            <w:pPr>
              <w:spacing w:line="240" w:lineRule="auto"/>
              <w:jc w:val="left"/>
            </w:pPr>
            <w:r>
              <w:t>Regel</w:t>
            </w:r>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3C4357A" w:rsidR="00631CA6" w:rsidRDefault="00631CA6">
            <w:pPr>
              <w:spacing w:line="240" w:lineRule="auto"/>
              <w:jc w:val="left"/>
            </w:pPr>
            <w:r>
              <w:t>Fejl 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42C9522F" w:rsidR="00631CA6" w:rsidRDefault="00631CA6">
            <w:pPr>
              <w:spacing w:line="240" w:lineRule="auto"/>
              <w:jc w:val="left"/>
            </w:pPr>
            <w:r>
              <w:t>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7777777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w:t>
      </w:r>
      <w:proofErr w:type="spellStart"/>
      <w:r w:rsidRPr="005944B3">
        <w:rPr>
          <w:rFonts w:ascii="Courier New" w:eastAsia="Cambria" w:hAnsi="Courier New" w:cs="Courier New"/>
          <w:sz w:val="20"/>
          <w:szCs w:val="20"/>
          <w:lang w:val="en-US"/>
        </w:rPr>
        <w:t>BusinessRulesErrors</w:t>
      </w:r>
      <w:proofErr w:type="spellEnd"/>
      <w:r w:rsidRPr="005944B3">
        <w:rPr>
          <w:rFonts w:ascii="Courier New" w:eastAsia="Cambria" w:hAnsi="Courier New" w:cs="Courier New"/>
          <w:sz w:val="20"/>
          <w:szCs w:val="20"/>
          <w:lang w:val="en-US"/>
        </w:rPr>
        <w:t xml:space="preserve"> - LPR </w:t>
      </w:r>
      <w:proofErr w:type="spellStart"/>
      <w:r w:rsidRPr="005944B3">
        <w:rPr>
          <w:rFonts w:ascii="Courier New" w:eastAsia="Cambria" w:hAnsi="Courier New" w:cs="Courier New"/>
          <w:color w:val="000000"/>
          <w:sz w:val="20"/>
          <w:szCs w:val="20"/>
          <w:u w:val="single"/>
          <w:lang w:val="en-US"/>
        </w:rPr>
        <w:t>Recordnummer</w:t>
      </w:r>
      <w:proofErr w:type="spellEnd"/>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proofErr w:type="spellStart"/>
      <w:r w:rsidRPr="005944B3">
        <w:rPr>
          <w:rFonts w:ascii="Courier New" w:eastAsia="Cambria" w:hAnsi="Courier New" w:cs="Courier New"/>
          <w:color w:val="000000"/>
          <w:sz w:val="20"/>
          <w:szCs w:val="20"/>
          <w:u w:val="single"/>
          <w:lang w:val="en-US"/>
        </w:rPr>
        <w:t>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og</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tid</w:t>
      </w:r>
      <w:proofErr w:type="spellEnd"/>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proofErr w:type="spellStart"/>
      <w:proofErr w:type="gramStart"/>
      <w:r w:rsidRPr="005944B3">
        <w:rPr>
          <w:rFonts w:ascii="Courier New" w:eastAsia="Cambria" w:hAnsi="Courier New" w:cs="Courier New"/>
          <w:color w:val="000000"/>
          <w:sz w:val="20"/>
          <w:szCs w:val="20"/>
          <w:u w:val="single"/>
          <w:lang w:val="en-US"/>
        </w:rPr>
        <w:t>fejlbesked</w:t>
      </w:r>
      <w:proofErr w:type="spellEnd"/>
      <w:proofErr w:type="gram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Proceduredato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findes</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ikke</w:t>
      </w:r>
      <w:proofErr w:type="spellEnd"/>
      <w:r w:rsidRPr="005944B3">
        <w:rPr>
          <w:rFonts w:ascii="Courier New" w:eastAsia="Cambria" w:hAnsi="Courier New" w:cs="Courier New"/>
          <w:sz w:val="20"/>
          <w:szCs w:val="20"/>
          <w:lang w:val="en-US"/>
        </w:rPr>
        <w:t>]</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r>
        <w:lastRenderedPageBreak/>
        <w:t>Logfiler og logtabel</w:t>
      </w:r>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 xml:space="preserve">Log </w:t>
      </w:r>
      <w:proofErr w:type="spellStart"/>
      <w:r>
        <w:t>appenderen</w:t>
      </w:r>
      <w:proofErr w:type="spellEnd"/>
      <w:r>
        <w:t xml:space="preserve"> hedder "</w:t>
      </w:r>
      <w:proofErr w:type="spellStart"/>
      <w:r>
        <w:t>BusinessRulesErrors</w:t>
      </w:r>
      <w:proofErr w:type="spellEnd"/>
      <w:r>
        <w:t xml:space="preserve">", det er denne </w:t>
      </w:r>
      <w:proofErr w:type="spellStart"/>
      <w:r>
        <w:t>appender</w:t>
      </w:r>
      <w:proofErr w:type="spellEnd"/>
      <w:r>
        <w:t xml:space="preserve"> LPR Databehandleren skriver fejlene til.</w:t>
      </w:r>
      <w:r w:rsidR="00CC1650">
        <w:t xml:space="preserve"> Log </w:t>
      </w:r>
      <w:proofErr w:type="spellStart"/>
      <w:r w:rsidR="00CC1650">
        <w:t>appenderen</w:t>
      </w:r>
      <w:proofErr w:type="spellEnd"/>
      <w:r w:rsidR="00CC1650">
        <w:t xml:space="preserve"> er sat op som en rullende fil </w:t>
      </w:r>
      <w:proofErr w:type="spellStart"/>
      <w:r w:rsidR="00CC1650">
        <w:t>appender</w:t>
      </w:r>
      <w:proofErr w:type="spellEnd"/>
      <w:r w:rsidR="00CC1650">
        <w:t>,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 xml:space="preserve">forretningsregel-fejl.log.1" </w:t>
      </w:r>
      <w:proofErr w:type="spellStart"/>
      <w:r w:rsidR="00CC1650">
        <w:t>o.s.v</w:t>
      </w:r>
      <w:proofErr w:type="spellEnd"/>
      <w:r w:rsidR="00CC1650">
        <w:t xml:space="preserve">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log4j.logger.BusinessRulesErrors</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log4j.appender.ERRORFILE.Append</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log4j.appender.ERRORFILE.MaxFileSize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log4j.appender.ERRORFILE.MaxBackupIndex</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log4j.appender.ERRORFILE.layout</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proofErr w:type="gramStart"/>
      <w:r w:rsidRPr="00CC1650">
        <w:rPr>
          <w:rFonts w:ascii="Courier New" w:eastAsia="Cambria" w:hAnsi="Courier New" w:cs="Courier New"/>
          <w:color w:val="000000"/>
          <w:sz w:val="20"/>
          <w:szCs w:val="20"/>
          <w:lang w:val="en-US"/>
        </w:rPr>
        <w:t>log4j.appender.ERRORFILE.layout.ConversionPattern</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proofErr w:type="spellStart"/>
      <w:r w:rsidRPr="00CC1650">
        <w:rPr>
          <w:rFonts w:ascii="Courier New" w:eastAsia="Cambria" w:hAnsi="Courier New" w:cs="Courier New"/>
          <w:color w:val="2A00FF"/>
          <w:sz w:val="20"/>
          <w:szCs w:val="20"/>
          <w:lang w:val="en-US"/>
        </w:rPr>
        <w:t>m%n</w:t>
      </w:r>
      <w:proofErr w:type="spellEnd"/>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 xml:space="preserve">Logtabellen ligger i HAIBA databasen og hedder </w:t>
      </w:r>
      <w:proofErr w:type="spellStart"/>
      <w:r>
        <w:t>RegelFejlbeskeder</w:t>
      </w:r>
      <w:proofErr w:type="spellEnd"/>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w:t>
      </w:r>
      <w:proofErr w:type="spellStart"/>
      <w:r>
        <w:t>disable.database.errorlog</w:t>
      </w:r>
      <w:proofErr w:type="spellEnd"/>
      <w:r>
        <w:t>" parameteren som beskrevet tidligere.</w:t>
      </w:r>
    </w:p>
    <w:p w14:paraId="3C6C1D28" w14:textId="77777777" w:rsidR="00CC1650" w:rsidRDefault="00CC1650">
      <w:pPr>
        <w:spacing w:line="240" w:lineRule="auto"/>
        <w:jc w:val="left"/>
      </w:pPr>
    </w:p>
    <w:p w14:paraId="0F041DD4" w14:textId="77777777" w:rsidR="00654335" w:rsidRPr="00F61CBB" w:rsidRDefault="00654335" w:rsidP="000E7C8C">
      <w:pPr>
        <w:pStyle w:val="Overskrift1"/>
      </w:pPr>
      <w:bookmarkStart w:id="22" w:name="_Toc263424147"/>
      <w:bookmarkStart w:id="23" w:name="_Toc220055179"/>
      <w:r w:rsidRPr="00F61CBB">
        <w:lastRenderedPageBreak/>
        <w:t>Ændringslog</w:t>
      </w:r>
      <w:bookmarkEnd w:id="22"/>
      <w:bookmarkEnd w:id="23"/>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3D72A3BA" w:rsidR="00D07E64" w:rsidRDefault="00AB38EB" w:rsidP="00654335">
      <w:pPr>
        <w:pStyle w:val="Body"/>
      </w:pPr>
      <w:hyperlink r:id="rId12" w:history="1">
        <w:r w:rsidR="004C55FD" w:rsidRPr="00EA60D6">
          <w:rPr>
            <w:rStyle w:val="Llink"/>
          </w:rPr>
          <w:t>https://github.com/trifork/HAIBA-LPRimporter/blob/master/doc/Driftsvejledning.docx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25F939CA"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41424260"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12577C25"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0565180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13"/>
      <w:headerReference w:type="first" r:id="rId14"/>
      <w:footerReference w:type="first" r:id="rId15"/>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AB38EB" w:rsidRDefault="00AB38EB">
      <w:pPr>
        <w:spacing w:line="240" w:lineRule="auto"/>
      </w:pPr>
      <w:r>
        <w:separator/>
      </w:r>
    </w:p>
  </w:endnote>
  <w:endnote w:type="continuationSeparator" w:id="0">
    <w:p w14:paraId="55C1EB11" w14:textId="77777777" w:rsidR="00AB38EB" w:rsidRDefault="00AB3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AB38EB" w:rsidRPr="002F440C" w:rsidRDefault="00AB38EB"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7B52EB">
      <w:rPr>
        <w:rStyle w:val="Sidetal1"/>
        <w:noProof/>
      </w:rPr>
      <w:t>11</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7B52EB">
      <w:rPr>
        <w:rStyle w:val="Sidetal1"/>
        <w:noProof/>
      </w:rPr>
      <w:t>13</w:t>
    </w:r>
    <w:r w:rsidRPr="002F440C">
      <w:rPr>
        <w:rStyle w:val="Sidetal1"/>
      </w:rPr>
      <w:fldChar w:fldCharType="end"/>
    </w:r>
  </w:p>
  <w:p w14:paraId="564D3A53" w14:textId="77777777" w:rsidR="00AB38EB" w:rsidRDefault="00AB38E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AB38EB" w:rsidRDefault="00AB38EB"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13</w:t>
      </w:r>
    </w:fldSimple>
  </w:p>
  <w:p w14:paraId="05AF496E" w14:textId="77777777" w:rsidR="00AB38EB" w:rsidRDefault="00AB38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AB38EB" w:rsidRDefault="00AB38EB">
      <w:pPr>
        <w:spacing w:line="240" w:lineRule="auto"/>
      </w:pPr>
      <w:r>
        <w:separator/>
      </w:r>
    </w:p>
  </w:footnote>
  <w:footnote w:type="continuationSeparator" w:id="0">
    <w:p w14:paraId="1565479C" w14:textId="77777777" w:rsidR="00AB38EB" w:rsidRDefault="00AB38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AB38EB" w:rsidRDefault="00AB38EB"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AB38EB" w:rsidRDefault="00AB38EB" w:rsidP="00C6206D">
    <w:pPr>
      <w:jc w:val="left"/>
    </w:pPr>
  </w:p>
  <w:p w14:paraId="1EC263A8" w14:textId="77777777" w:rsidR="00AB38EB" w:rsidRDefault="00AB38EB" w:rsidP="00C6206D">
    <w:pPr>
      <w:pBdr>
        <w:bottom w:val="single" w:sz="4" w:space="1" w:color="auto"/>
      </w:pBdr>
      <w:jc w:val="left"/>
    </w:pPr>
  </w:p>
  <w:p w14:paraId="2275E18D" w14:textId="77777777" w:rsidR="00AB38EB" w:rsidRDefault="00AB38EB" w:rsidP="00C6206D">
    <w:pPr>
      <w:pBdr>
        <w:bottom w:val="single" w:sz="4" w:space="1" w:color="auto"/>
      </w:pBdr>
      <w:jc w:val="left"/>
    </w:pPr>
  </w:p>
  <w:p w14:paraId="1F5A9692" w14:textId="77777777" w:rsidR="00AB38EB" w:rsidRDefault="00AB38E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C5424"/>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C55FD"/>
    <w:rsid w:val="004E039C"/>
    <w:rsid w:val="004F2FBC"/>
    <w:rsid w:val="00511225"/>
    <w:rsid w:val="0053645E"/>
    <w:rsid w:val="00537A10"/>
    <w:rsid w:val="005468B5"/>
    <w:rsid w:val="005703F4"/>
    <w:rsid w:val="005844B3"/>
    <w:rsid w:val="005944B3"/>
    <w:rsid w:val="005A6A42"/>
    <w:rsid w:val="005A73A5"/>
    <w:rsid w:val="005B1805"/>
    <w:rsid w:val="005B1BC9"/>
    <w:rsid w:val="005B4558"/>
    <w:rsid w:val="005B4F10"/>
    <w:rsid w:val="005B5055"/>
    <w:rsid w:val="005B6523"/>
    <w:rsid w:val="005C0A66"/>
    <w:rsid w:val="005D1D2A"/>
    <w:rsid w:val="005E2BAD"/>
    <w:rsid w:val="005E741B"/>
    <w:rsid w:val="005F078A"/>
    <w:rsid w:val="005F42A4"/>
    <w:rsid w:val="0060264D"/>
    <w:rsid w:val="00610A37"/>
    <w:rsid w:val="00617BD9"/>
    <w:rsid w:val="00627C9A"/>
    <w:rsid w:val="00631CA6"/>
    <w:rsid w:val="006328FF"/>
    <w:rsid w:val="00640698"/>
    <w:rsid w:val="006500EA"/>
    <w:rsid w:val="00654335"/>
    <w:rsid w:val="006644BD"/>
    <w:rsid w:val="00681CAE"/>
    <w:rsid w:val="00686AF4"/>
    <w:rsid w:val="006930FB"/>
    <w:rsid w:val="00695E6B"/>
    <w:rsid w:val="006B1711"/>
    <w:rsid w:val="006E0155"/>
    <w:rsid w:val="006E6624"/>
    <w:rsid w:val="006F2BFF"/>
    <w:rsid w:val="006F7AD7"/>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2EB"/>
    <w:rsid w:val="007B5536"/>
    <w:rsid w:val="007C39CD"/>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6C7E"/>
    <w:rsid w:val="00AB38EB"/>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A4E3F"/>
    <w:rsid w:val="00CB3E37"/>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6900"/>
    <w:rsid w:val="00DB04BB"/>
    <w:rsid w:val="00DB1583"/>
    <w:rsid w:val="00DC028F"/>
    <w:rsid w:val="00DF0923"/>
    <w:rsid w:val="00E04C69"/>
    <w:rsid w:val="00E06A02"/>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34FD"/>
    <w:rsid w:val="00FD0521"/>
    <w:rsid w:val="00FD0AB2"/>
    <w:rsid w:val="00FE54E8"/>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trifork/HAIBA-LPRimporter/blob/master/doc/Driftsvejledning.docx"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trifork/HAIBA-LPRimporter/tree/master/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9333-8B3B-3044-956F-5DACE479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1672</Words>
  <Characters>10202</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11851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Kjeld Froberg</cp:lastModifiedBy>
  <cp:revision>12</cp:revision>
  <cp:lastPrinted>2011-02-01T08:24:00Z</cp:lastPrinted>
  <dcterms:created xsi:type="dcterms:W3CDTF">2013-01-03T12:41:00Z</dcterms:created>
  <dcterms:modified xsi:type="dcterms:W3CDTF">2013-02-01T10:26:00Z</dcterms:modified>
  <cp:category/>
</cp:coreProperties>
</file>