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AC3C" w14:textId="77777777" w:rsidR="00713352" w:rsidRPr="0091496D" w:rsidRDefault="0071335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2698"/>
      </w:tblGrid>
      <w:tr w:rsidR="00713352" w:rsidRPr="0091496D" w14:paraId="203D3900" w14:textId="77777777" w:rsidTr="005256A4">
        <w:tc>
          <w:tcPr>
            <w:tcW w:w="6629"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648AA31A" w14:textId="77777777" w:rsidR="001C6944" w:rsidRDefault="00411B14" w:rsidP="001C6944">
            <w:pPr>
              <w:pStyle w:val="Caption"/>
              <w:numPr>
                <w:ilvl w:val="0"/>
                <w:numId w:val="1"/>
              </w:numPr>
              <w:jc w:val="left"/>
              <w:rPr>
                <w:sz w:val="22"/>
                <w:szCs w:val="22"/>
              </w:rPr>
            </w:pPr>
            <w:r w:rsidRPr="001C6944">
              <w:rPr>
                <w:sz w:val="22"/>
                <w:szCs w:val="22"/>
              </w:rPr>
              <w:t>Anvenderguide: Visuel test</w:t>
            </w:r>
            <w:r w:rsidR="00CC40EB" w:rsidRPr="001C6944">
              <w:rPr>
                <w:sz w:val="22"/>
                <w:szCs w:val="22"/>
              </w:rPr>
              <w:t>data</w:t>
            </w:r>
            <w:r w:rsidRPr="001C6944">
              <w:rPr>
                <w:sz w:val="22"/>
                <w:szCs w:val="22"/>
              </w:rPr>
              <w:t xml:space="preserve">klient, </w:t>
            </w:r>
          </w:p>
          <w:p w14:paraId="21B54DD2" w14:textId="359FFC0E" w:rsidR="00713352" w:rsidRPr="001C6944" w:rsidRDefault="00411B14" w:rsidP="001C6944">
            <w:pPr>
              <w:pStyle w:val="Caption"/>
              <w:ind w:left="720"/>
              <w:jc w:val="left"/>
              <w:rPr>
                <w:sz w:val="22"/>
                <w:szCs w:val="22"/>
              </w:rPr>
            </w:pPr>
            <w:r w:rsidRPr="001C6944">
              <w:rPr>
                <w:sz w:val="22"/>
                <w:szCs w:val="22"/>
              </w:rPr>
              <w:t>en funktionel prototype</w:t>
            </w:r>
          </w:p>
          <w:p w14:paraId="4377468F" w14:textId="77777777" w:rsidR="00713352" w:rsidRPr="0091496D" w:rsidRDefault="00713352"/>
          <w:p w14:paraId="51DAAA8C" w14:textId="33C9803F" w:rsidR="00713352" w:rsidRPr="0091496D" w:rsidRDefault="00612C87">
            <w:r>
              <w:t xml:space="preserve">Dato: </w:t>
            </w:r>
            <w:r w:rsidR="00C86968">
              <w:t>1</w:t>
            </w:r>
            <w:r w:rsidR="00EB2534">
              <w:t>.</w:t>
            </w:r>
            <w:r w:rsidR="00C86968">
              <w:t>3</w:t>
            </w:r>
            <w:r w:rsidR="00713352" w:rsidRPr="0091496D">
              <w:t>.20</w:t>
            </w:r>
            <w:r w:rsidR="001038B8">
              <w:t>1</w:t>
            </w:r>
            <w:r w:rsidR="00C86968">
              <w:t>7</w:t>
            </w:r>
          </w:p>
          <w:p w14:paraId="4CCDAB74" w14:textId="2A9D59A7" w:rsidR="00713352" w:rsidRPr="0091496D" w:rsidRDefault="00713352">
            <w:r w:rsidRPr="0091496D">
              <w:t xml:space="preserve">Version: </w:t>
            </w:r>
            <w:r w:rsidR="00C86968">
              <w:t>1.2</w:t>
            </w:r>
          </w:p>
          <w:p w14:paraId="09375EE1" w14:textId="66D05F40" w:rsidR="00713352" w:rsidRPr="0091496D" w:rsidRDefault="00713352">
            <w:r w:rsidRPr="0091496D">
              <w:t>Udarbejdet af:</w:t>
            </w:r>
            <w:r w:rsidR="00C86968">
              <w:t xml:space="preserve"> </w:t>
            </w:r>
            <w:r w:rsidR="001C6944" w:rsidRPr="001C6944">
              <w:t>Sundhedsdatastyrelsen</w:t>
            </w:r>
            <w:r w:rsidR="001C6944">
              <w:t xml:space="preserve"> (SDS)</w:t>
            </w:r>
          </w:p>
          <w:p w14:paraId="2C3F9A22" w14:textId="77777777" w:rsidR="00713352" w:rsidRPr="0091496D" w:rsidRDefault="00713352"/>
        </w:tc>
        <w:tc>
          <w:tcPr>
            <w:tcW w:w="2581" w:type="dxa"/>
          </w:tcPr>
          <w:p w14:paraId="54C4E2CA" w14:textId="42D532A4" w:rsidR="00713352" w:rsidRPr="001C6944" w:rsidRDefault="001C6944">
            <w:r>
              <w:rPr>
                <w:rStyle w:val="Strong"/>
              </w:rPr>
              <w:t>Sundhedsdatastyrelsen</w:t>
            </w:r>
            <w:r>
              <w:t xml:space="preserve"> </w:t>
            </w:r>
            <w:r>
              <w:br/>
              <w:t xml:space="preserve">Ørestads Boulevard 5 </w:t>
            </w:r>
            <w:r>
              <w:br/>
              <w:t xml:space="preserve">2300 København S </w:t>
            </w:r>
          </w:p>
        </w:tc>
      </w:tr>
    </w:tbl>
    <w:p w14:paraId="5CD951F4" w14:textId="0F8CC5B0" w:rsidR="002569AC" w:rsidRPr="00CC40EB" w:rsidRDefault="00DA56FD" w:rsidP="00995C88">
      <w:pPr>
        <w:pStyle w:val="Resumoverskrift"/>
        <w:spacing w:before="360"/>
        <w:ind w:left="0"/>
      </w:pPr>
      <w:r>
        <w:rPr>
          <w:noProof/>
          <w:lang w:val="en-US" w:eastAsia="en-US"/>
        </w:rPr>
        <w:drawing>
          <wp:inline distT="0" distB="0" distL="0" distR="0" wp14:anchorId="4883A189" wp14:editId="121D77E2">
            <wp:extent cx="5791200" cy="4521200"/>
            <wp:effectExtent l="0" t="0" r="0" b="0"/>
            <wp:docPr id="4" name="Picture 4" descr="Macintosh HD:Users:chg:Desktop:Screen Shot 2017-03-02 at 17.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g:Desktop:Screen Shot 2017-03-02 at 17.02.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521200"/>
                    </a:xfrm>
                    <a:prstGeom prst="rect">
                      <a:avLst/>
                    </a:prstGeom>
                    <a:noFill/>
                    <a:ln>
                      <a:noFill/>
                    </a:ln>
                  </pic:spPr>
                </pic:pic>
              </a:graphicData>
            </a:graphic>
          </wp:inline>
        </w:drawing>
      </w:r>
      <w:r w:rsidR="002569AC" w:rsidRPr="00CC40EB">
        <w:t>Resumé</w:t>
      </w:r>
    </w:p>
    <w:p w14:paraId="1829F11C" w14:textId="1C587BDC" w:rsidR="00737BBA" w:rsidRPr="00411B14" w:rsidRDefault="00C86968" w:rsidP="00995C88">
      <w:pPr>
        <w:ind w:right="1557"/>
        <w:rPr>
          <w:i/>
        </w:rPr>
      </w:pPr>
      <w:r>
        <w:rPr>
          <w:i/>
        </w:rPr>
        <w:t>SDS</w:t>
      </w:r>
      <w:r w:rsidR="00CC40EB">
        <w:rPr>
          <w:i/>
        </w:rPr>
        <w:t xml:space="preserve"> har udviklet en funktionel prototype med en visuel brugergrænseflade, der giver ikke-teknikere mulighed for at kalde Dump og </w:t>
      </w:r>
      <w:proofErr w:type="spellStart"/>
      <w:r w:rsidR="00CC40EB">
        <w:rPr>
          <w:i/>
        </w:rPr>
        <w:t>Restore</w:t>
      </w:r>
      <w:proofErr w:type="spellEnd"/>
      <w:r w:rsidR="00CC40EB">
        <w:rPr>
          <w:i/>
        </w:rPr>
        <w:t xml:space="preserve"> på sikker vis.</w:t>
      </w:r>
    </w:p>
    <w:p w14:paraId="1C136F21" w14:textId="77777777" w:rsidR="00CE5B6B" w:rsidRDefault="002A561C" w:rsidP="00FD260B">
      <w:pPr>
        <w:pStyle w:val="Overskrift1"/>
      </w:pPr>
      <w:r>
        <w:lastRenderedPageBreak/>
        <w:t>Indholdsfortegnelse</w:t>
      </w:r>
    </w:p>
    <w:p w14:paraId="6537098D" w14:textId="77777777" w:rsidR="00FF0138" w:rsidRDefault="00FD260B">
      <w:pPr>
        <w:pStyle w:val="TOC1"/>
        <w:tabs>
          <w:tab w:val="left" w:pos="362"/>
          <w:tab w:val="right" w:leader="dot" w:pos="9060"/>
        </w:tabs>
        <w:rPr>
          <w:rFonts w:asciiTheme="minorHAnsi" w:eastAsiaTheme="minorEastAsia" w:hAnsiTheme="minorHAnsi" w:cstheme="minorBidi"/>
          <w:b w:val="0"/>
          <w:noProof/>
          <w:lang w:val="en-GB" w:eastAsia="ja-JP"/>
        </w:rPr>
      </w:pPr>
      <w:r>
        <w:fldChar w:fldCharType="begin"/>
      </w:r>
      <w:r>
        <w:instrText xml:space="preserve"> TOC \o "1-3" </w:instrText>
      </w:r>
      <w:r>
        <w:fldChar w:fldCharType="separate"/>
      </w:r>
      <w:r w:rsidR="00FF0138">
        <w:rPr>
          <w:noProof/>
        </w:rPr>
        <w:t>1</w:t>
      </w:r>
      <w:r w:rsidR="00FF0138">
        <w:rPr>
          <w:rFonts w:asciiTheme="minorHAnsi" w:eastAsiaTheme="minorEastAsia" w:hAnsiTheme="minorHAnsi" w:cstheme="minorBidi"/>
          <w:b w:val="0"/>
          <w:noProof/>
          <w:lang w:val="en-GB" w:eastAsia="ja-JP"/>
        </w:rPr>
        <w:tab/>
      </w:r>
      <w:r w:rsidR="00FF0138">
        <w:rPr>
          <w:noProof/>
        </w:rPr>
        <w:t>Anvenderguide til den visuelle testdataklient</w:t>
      </w:r>
      <w:r w:rsidR="00FF0138">
        <w:rPr>
          <w:noProof/>
        </w:rPr>
        <w:tab/>
      </w:r>
      <w:r w:rsidR="00FF0138">
        <w:rPr>
          <w:noProof/>
        </w:rPr>
        <w:fldChar w:fldCharType="begin"/>
      </w:r>
      <w:r w:rsidR="00FF0138">
        <w:rPr>
          <w:noProof/>
        </w:rPr>
        <w:instrText xml:space="preserve"> PAGEREF _Toc309044468 \h </w:instrText>
      </w:r>
      <w:r w:rsidR="00FF0138">
        <w:rPr>
          <w:noProof/>
        </w:rPr>
      </w:r>
      <w:r w:rsidR="00FF0138">
        <w:rPr>
          <w:noProof/>
        </w:rPr>
        <w:fldChar w:fldCharType="separate"/>
      </w:r>
      <w:r w:rsidR="00645B92">
        <w:rPr>
          <w:noProof/>
        </w:rPr>
        <w:t>3</w:t>
      </w:r>
      <w:r w:rsidR="00FF0138">
        <w:rPr>
          <w:noProof/>
        </w:rPr>
        <w:fldChar w:fldCharType="end"/>
      </w:r>
    </w:p>
    <w:p w14:paraId="0B765F63"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1.1</w:t>
      </w:r>
      <w:r>
        <w:rPr>
          <w:rFonts w:asciiTheme="minorHAnsi" w:eastAsiaTheme="minorEastAsia" w:hAnsiTheme="minorHAnsi" w:cstheme="minorBidi"/>
          <w:noProof/>
          <w:sz w:val="24"/>
          <w:szCs w:val="24"/>
          <w:lang w:val="en-GB" w:eastAsia="ja-JP"/>
        </w:rPr>
        <w:tab/>
      </w:r>
      <w:r>
        <w:rPr>
          <w:noProof/>
        </w:rPr>
        <w:t>Overordnet beskrivelse af hvordan klienten anvendes</w:t>
      </w:r>
      <w:r>
        <w:rPr>
          <w:noProof/>
        </w:rPr>
        <w:tab/>
      </w:r>
      <w:r>
        <w:rPr>
          <w:noProof/>
        </w:rPr>
        <w:fldChar w:fldCharType="begin"/>
      </w:r>
      <w:r>
        <w:rPr>
          <w:noProof/>
        </w:rPr>
        <w:instrText xml:space="preserve"> PAGEREF _Toc309044469 \h </w:instrText>
      </w:r>
      <w:r>
        <w:rPr>
          <w:noProof/>
        </w:rPr>
      </w:r>
      <w:r>
        <w:rPr>
          <w:noProof/>
        </w:rPr>
        <w:fldChar w:fldCharType="separate"/>
      </w:r>
      <w:r w:rsidR="00645B92">
        <w:rPr>
          <w:noProof/>
        </w:rPr>
        <w:t>3</w:t>
      </w:r>
      <w:r>
        <w:rPr>
          <w:noProof/>
        </w:rPr>
        <w:fldChar w:fldCharType="end"/>
      </w:r>
    </w:p>
    <w:p w14:paraId="5736016D"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1.2</w:t>
      </w:r>
      <w:r>
        <w:rPr>
          <w:rFonts w:asciiTheme="minorHAnsi" w:eastAsiaTheme="minorEastAsia" w:hAnsiTheme="minorHAnsi" w:cstheme="minorBidi"/>
          <w:noProof/>
          <w:sz w:val="24"/>
          <w:szCs w:val="24"/>
          <w:lang w:val="en-GB" w:eastAsia="ja-JP"/>
        </w:rPr>
        <w:tab/>
      </w:r>
      <w:r>
        <w:rPr>
          <w:noProof/>
        </w:rPr>
        <w:t>Gennemgang af hvordan klienten anvendes</w:t>
      </w:r>
      <w:r>
        <w:rPr>
          <w:noProof/>
        </w:rPr>
        <w:tab/>
      </w:r>
      <w:r>
        <w:rPr>
          <w:noProof/>
        </w:rPr>
        <w:fldChar w:fldCharType="begin"/>
      </w:r>
      <w:r>
        <w:rPr>
          <w:noProof/>
        </w:rPr>
        <w:instrText xml:space="preserve"> PAGEREF _Toc309044470 \h </w:instrText>
      </w:r>
      <w:r>
        <w:rPr>
          <w:noProof/>
        </w:rPr>
      </w:r>
      <w:r>
        <w:rPr>
          <w:noProof/>
        </w:rPr>
        <w:fldChar w:fldCharType="separate"/>
      </w:r>
      <w:r w:rsidR="00645B92">
        <w:rPr>
          <w:noProof/>
        </w:rPr>
        <w:t>4</w:t>
      </w:r>
      <w:r>
        <w:rPr>
          <w:noProof/>
        </w:rPr>
        <w:fldChar w:fldCharType="end"/>
      </w:r>
    </w:p>
    <w:p w14:paraId="4DE18FBC"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1.2.1</w:t>
      </w:r>
      <w:r>
        <w:rPr>
          <w:rFonts w:asciiTheme="minorHAnsi" w:eastAsiaTheme="minorEastAsia" w:hAnsiTheme="minorHAnsi" w:cstheme="minorBidi"/>
          <w:i w:val="0"/>
          <w:noProof/>
          <w:sz w:val="24"/>
          <w:szCs w:val="24"/>
          <w:lang w:val="en-GB" w:eastAsia="ja-JP"/>
        </w:rPr>
        <w:tab/>
      </w:r>
      <w:r>
        <w:rPr>
          <w:noProof/>
        </w:rPr>
        <w:t>Trin 1: Vælg testpatienter</w:t>
      </w:r>
      <w:r>
        <w:rPr>
          <w:noProof/>
        </w:rPr>
        <w:tab/>
      </w:r>
      <w:r>
        <w:rPr>
          <w:noProof/>
        </w:rPr>
        <w:fldChar w:fldCharType="begin"/>
      </w:r>
      <w:r>
        <w:rPr>
          <w:noProof/>
        </w:rPr>
        <w:instrText xml:space="preserve"> PAGEREF _Toc309044471 \h </w:instrText>
      </w:r>
      <w:r>
        <w:rPr>
          <w:noProof/>
        </w:rPr>
      </w:r>
      <w:r>
        <w:rPr>
          <w:noProof/>
        </w:rPr>
        <w:fldChar w:fldCharType="separate"/>
      </w:r>
      <w:r w:rsidR="00645B92">
        <w:rPr>
          <w:noProof/>
        </w:rPr>
        <w:t>4</w:t>
      </w:r>
      <w:r>
        <w:rPr>
          <w:noProof/>
        </w:rPr>
        <w:fldChar w:fldCharType="end"/>
      </w:r>
    </w:p>
    <w:p w14:paraId="6153F0AB"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1.2.2</w:t>
      </w:r>
      <w:r>
        <w:rPr>
          <w:rFonts w:asciiTheme="minorHAnsi" w:eastAsiaTheme="minorEastAsia" w:hAnsiTheme="minorHAnsi" w:cstheme="minorBidi"/>
          <w:i w:val="0"/>
          <w:noProof/>
          <w:sz w:val="24"/>
          <w:szCs w:val="24"/>
          <w:lang w:val="en-GB" w:eastAsia="ja-JP"/>
        </w:rPr>
        <w:tab/>
      </w:r>
      <w:r>
        <w:rPr>
          <w:noProof/>
        </w:rPr>
        <w:t>Trin 2: Vælg hvorfra testpatienternes data hentes</w:t>
      </w:r>
      <w:r>
        <w:rPr>
          <w:noProof/>
        </w:rPr>
        <w:tab/>
      </w:r>
      <w:r>
        <w:rPr>
          <w:noProof/>
        </w:rPr>
        <w:fldChar w:fldCharType="begin"/>
      </w:r>
      <w:r>
        <w:rPr>
          <w:noProof/>
        </w:rPr>
        <w:instrText xml:space="preserve"> PAGEREF _Toc309044472 \h </w:instrText>
      </w:r>
      <w:r>
        <w:rPr>
          <w:noProof/>
        </w:rPr>
      </w:r>
      <w:r>
        <w:rPr>
          <w:noProof/>
        </w:rPr>
        <w:fldChar w:fldCharType="separate"/>
      </w:r>
      <w:r w:rsidR="00645B92">
        <w:rPr>
          <w:noProof/>
        </w:rPr>
        <w:t>4</w:t>
      </w:r>
      <w:r>
        <w:rPr>
          <w:noProof/>
        </w:rPr>
        <w:fldChar w:fldCharType="end"/>
      </w:r>
    </w:p>
    <w:p w14:paraId="6C44B400"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1.2.3</w:t>
      </w:r>
      <w:r>
        <w:rPr>
          <w:rFonts w:asciiTheme="minorHAnsi" w:eastAsiaTheme="minorEastAsia" w:hAnsiTheme="minorHAnsi" w:cstheme="minorBidi"/>
          <w:i w:val="0"/>
          <w:noProof/>
          <w:sz w:val="24"/>
          <w:szCs w:val="24"/>
          <w:lang w:val="en-GB" w:eastAsia="ja-JP"/>
        </w:rPr>
        <w:tab/>
      </w:r>
      <w:r>
        <w:rPr>
          <w:noProof/>
        </w:rPr>
        <w:t>Trin 3: Vælg hvor testpatienternes data skal placeres</w:t>
      </w:r>
      <w:r>
        <w:rPr>
          <w:noProof/>
        </w:rPr>
        <w:tab/>
      </w:r>
      <w:r>
        <w:rPr>
          <w:noProof/>
        </w:rPr>
        <w:fldChar w:fldCharType="begin"/>
      </w:r>
      <w:r>
        <w:rPr>
          <w:noProof/>
        </w:rPr>
        <w:instrText xml:space="preserve"> PAGEREF _Toc309044473 \h </w:instrText>
      </w:r>
      <w:r>
        <w:rPr>
          <w:noProof/>
        </w:rPr>
      </w:r>
      <w:r>
        <w:rPr>
          <w:noProof/>
        </w:rPr>
        <w:fldChar w:fldCharType="separate"/>
      </w:r>
      <w:r w:rsidR="00645B92">
        <w:rPr>
          <w:noProof/>
        </w:rPr>
        <w:t>5</w:t>
      </w:r>
      <w:r>
        <w:rPr>
          <w:noProof/>
        </w:rPr>
        <w:fldChar w:fldCharType="end"/>
      </w:r>
    </w:p>
    <w:p w14:paraId="22BA42B6"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1.2.4</w:t>
      </w:r>
      <w:r>
        <w:rPr>
          <w:rFonts w:asciiTheme="minorHAnsi" w:eastAsiaTheme="minorEastAsia" w:hAnsiTheme="minorHAnsi" w:cstheme="minorBidi"/>
          <w:i w:val="0"/>
          <w:noProof/>
          <w:sz w:val="24"/>
          <w:szCs w:val="24"/>
          <w:lang w:val="en-GB" w:eastAsia="ja-JP"/>
        </w:rPr>
        <w:tab/>
      </w:r>
      <w:r>
        <w:rPr>
          <w:noProof/>
        </w:rPr>
        <w:t>Trin 4: Verificer at de foretagne valg er ok</w:t>
      </w:r>
      <w:r>
        <w:rPr>
          <w:noProof/>
        </w:rPr>
        <w:tab/>
      </w:r>
      <w:r>
        <w:rPr>
          <w:noProof/>
        </w:rPr>
        <w:fldChar w:fldCharType="begin"/>
      </w:r>
      <w:r>
        <w:rPr>
          <w:noProof/>
        </w:rPr>
        <w:instrText xml:space="preserve"> PAGEREF _Toc309044474 \h </w:instrText>
      </w:r>
      <w:r>
        <w:rPr>
          <w:noProof/>
        </w:rPr>
      </w:r>
      <w:r>
        <w:rPr>
          <w:noProof/>
        </w:rPr>
        <w:fldChar w:fldCharType="separate"/>
      </w:r>
      <w:r w:rsidR="00645B92">
        <w:rPr>
          <w:noProof/>
        </w:rPr>
        <w:t>5</w:t>
      </w:r>
      <w:r>
        <w:rPr>
          <w:noProof/>
        </w:rPr>
        <w:fldChar w:fldCharType="end"/>
      </w:r>
    </w:p>
    <w:p w14:paraId="5E9E0A5F"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1.2.5</w:t>
      </w:r>
      <w:r>
        <w:rPr>
          <w:rFonts w:asciiTheme="minorHAnsi" w:eastAsiaTheme="minorEastAsia" w:hAnsiTheme="minorHAnsi" w:cstheme="minorBidi"/>
          <w:i w:val="0"/>
          <w:noProof/>
          <w:sz w:val="24"/>
          <w:szCs w:val="24"/>
          <w:lang w:val="en-GB" w:eastAsia="ja-JP"/>
        </w:rPr>
        <w:tab/>
      </w:r>
      <w:r>
        <w:rPr>
          <w:noProof/>
        </w:rPr>
        <w:t>Trin 5: Udfør!</w:t>
      </w:r>
      <w:r>
        <w:rPr>
          <w:noProof/>
        </w:rPr>
        <w:tab/>
      </w:r>
      <w:r>
        <w:rPr>
          <w:noProof/>
        </w:rPr>
        <w:fldChar w:fldCharType="begin"/>
      </w:r>
      <w:r>
        <w:rPr>
          <w:noProof/>
        </w:rPr>
        <w:instrText xml:space="preserve"> PAGEREF _Toc309044475 \h </w:instrText>
      </w:r>
      <w:r>
        <w:rPr>
          <w:noProof/>
        </w:rPr>
      </w:r>
      <w:r>
        <w:rPr>
          <w:noProof/>
        </w:rPr>
        <w:fldChar w:fldCharType="separate"/>
      </w:r>
      <w:r w:rsidR="00645B92">
        <w:rPr>
          <w:noProof/>
        </w:rPr>
        <w:t>5</w:t>
      </w:r>
      <w:r>
        <w:rPr>
          <w:noProof/>
        </w:rPr>
        <w:fldChar w:fldCharType="end"/>
      </w:r>
    </w:p>
    <w:p w14:paraId="7000B893" w14:textId="77777777" w:rsidR="00FF0138" w:rsidRDefault="00FF0138">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1.2.6</w:t>
      </w:r>
      <w:r>
        <w:rPr>
          <w:rFonts w:asciiTheme="minorHAnsi" w:eastAsiaTheme="minorEastAsia" w:hAnsiTheme="minorHAnsi" w:cstheme="minorBidi"/>
          <w:i w:val="0"/>
          <w:noProof/>
          <w:sz w:val="24"/>
          <w:szCs w:val="24"/>
          <w:lang w:val="en-GB" w:eastAsia="ja-JP"/>
        </w:rPr>
        <w:tab/>
      </w:r>
      <w:r>
        <w:rPr>
          <w:noProof/>
        </w:rPr>
        <w:t>Trin 6: Verificer at alt gik godt</w:t>
      </w:r>
      <w:r>
        <w:rPr>
          <w:noProof/>
        </w:rPr>
        <w:tab/>
      </w:r>
      <w:r>
        <w:rPr>
          <w:noProof/>
        </w:rPr>
        <w:fldChar w:fldCharType="begin"/>
      </w:r>
      <w:r>
        <w:rPr>
          <w:noProof/>
        </w:rPr>
        <w:instrText xml:space="preserve"> PAGEREF _Toc309044476 \h </w:instrText>
      </w:r>
      <w:r>
        <w:rPr>
          <w:noProof/>
        </w:rPr>
      </w:r>
      <w:r>
        <w:rPr>
          <w:noProof/>
        </w:rPr>
        <w:fldChar w:fldCharType="separate"/>
      </w:r>
      <w:r w:rsidR="00645B92">
        <w:rPr>
          <w:noProof/>
        </w:rPr>
        <w:t>5</w:t>
      </w:r>
      <w:r>
        <w:rPr>
          <w:noProof/>
        </w:rPr>
        <w:fldChar w:fldCharType="end"/>
      </w:r>
    </w:p>
    <w:p w14:paraId="66B5C5FA" w14:textId="77777777" w:rsidR="00FF0138" w:rsidRDefault="00FF0138">
      <w:pPr>
        <w:pStyle w:val="TOC1"/>
        <w:tabs>
          <w:tab w:val="left" w:pos="362"/>
          <w:tab w:val="right" w:leader="dot" w:pos="9060"/>
        </w:tabs>
        <w:rPr>
          <w:rFonts w:asciiTheme="minorHAnsi" w:eastAsiaTheme="minorEastAsia" w:hAnsiTheme="minorHAnsi" w:cstheme="minorBidi"/>
          <w:b w:val="0"/>
          <w:noProof/>
          <w:lang w:val="en-GB" w:eastAsia="ja-JP"/>
        </w:rPr>
      </w:pPr>
      <w:r>
        <w:rPr>
          <w:noProof/>
        </w:rPr>
        <w:t>2</w:t>
      </w:r>
      <w:r>
        <w:rPr>
          <w:rFonts w:asciiTheme="minorHAnsi" w:eastAsiaTheme="minorEastAsia" w:hAnsiTheme="minorHAnsi" w:cstheme="minorBidi"/>
          <w:b w:val="0"/>
          <w:noProof/>
          <w:lang w:val="en-GB" w:eastAsia="ja-JP"/>
        </w:rPr>
        <w:tab/>
      </w:r>
      <w:r>
        <w:rPr>
          <w:noProof/>
        </w:rPr>
        <w:t>Dokumentation til teknikere og administratorer</w:t>
      </w:r>
      <w:r>
        <w:rPr>
          <w:noProof/>
        </w:rPr>
        <w:tab/>
      </w:r>
      <w:r>
        <w:rPr>
          <w:noProof/>
        </w:rPr>
        <w:fldChar w:fldCharType="begin"/>
      </w:r>
      <w:r>
        <w:rPr>
          <w:noProof/>
        </w:rPr>
        <w:instrText xml:space="preserve"> PAGEREF _Toc309044477 \h </w:instrText>
      </w:r>
      <w:r>
        <w:rPr>
          <w:noProof/>
        </w:rPr>
      </w:r>
      <w:r>
        <w:rPr>
          <w:noProof/>
        </w:rPr>
        <w:fldChar w:fldCharType="separate"/>
      </w:r>
      <w:r w:rsidR="00645B92">
        <w:rPr>
          <w:noProof/>
        </w:rPr>
        <w:t>6</w:t>
      </w:r>
      <w:r>
        <w:rPr>
          <w:noProof/>
        </w:rPr>
        <w:fldChar w:fldCharType="end"/>
      </w:r>
    </w:p>
    <w:p w14:paraId="6678FB48"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2.1</w:t>
      </w:r>
      <w:r>
        <w:rPr>
          <w:rFonts w:asciiTheme="minorHAnsi" w:eastAsiaTheme="minorEastAsia" w:hAnsiTheme="minorHAnsi" w:cstheme="minorBidi"/>
          <w:noProof/>
          <w:sz w:val="24"/>
          <w:szCs w:val="24"/>
          <w:lang w:val="en-GB" w:eastAsia="ja-JP"/>
        </w:rPr>
        <w:tab/>
      </w:r>
      <w:r>
        <w:rPr>
          <w:noProof/>
        </w:rPr>
        <w:t>Konfiguration og sikkerhed</w:t>
      </w:r>
      <w:r>
        <w:rPr>
          <w:noProof/>
        </w:rPr>
        <w:tab/>
      </w:r>
      <w:r>
        <w:rPr>
          <w:noProof/>
        </w:rPr>
        <w:fldChar w:fldCharType="begin"/>
      </w:r>
      <w:r>
        <w:rPr>
          <w:noProof/>
        </w:rPr>
        <w:instrText xml:space="preserve"> PAGEREF _Toc309044478 \h </w:instrText>
      </w:r>
      <w:r>
        <w:rPr>
          <w:noProof/>
        </w:rPr>
      </w:r>
      <w:r>
        <w:rPr>
          <w:noProof/>
        </w:rPr>
        <w:fldChar w:fldCharType="separate"/>
      </w:r>
      <w:r w:rsidR="00645B92">
        <w:rPr>
          <w:noProof/>
        </w:rPr>
        <w:t>6</w:t>
      </w:r>
      <w:r>
        <w:rPr>
          <w:noProof/>
        </w:rPr>
        <w:fldChar w:fldCharType="end"/>
      </w:r>
    </w:p>
    <w:p w14:paraId="4A4CF5D6"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2.2</w:t>
      </w:r>
      <w:r>
        <w:rPr>
          <w:rFonts w:asciiTheme="minorHAnsi" w:eastAsiaTheme="minorEastAsia" w:hAnsiTheme="minorHAnsi" w:cstheme="minorBidi"/>
          <w:noProof/>
          <w:sz w:val="24"/>
          <w:szCs w:val="24"/>
          <w:lang w:val="en-GB" w:eastAsia="ja-JP"/>
        </w:rPr>
        <w:tab/>
      </w:r>
      <w:r>
        <w:rPr>
          <w:noProof/>
        </w:rPr>
        <w:t>Kald til nationale services</w:t>
      </w:r>
      <w:r>
        <w:rPr>
          <w:noProof/>
        </w:rPr>
        <w:tab/>
      </w:r>
      <w:r>
        <w:rPr>
          <w:noProof/>
        </w:rPr>
        <w:fldChar w:fldCharType="begin"/>
      </w:r>
      <w:r>
        <w:rPr>
          <w:noProof/>
        </w:rPr>
        <w:instrText xml:space="preserve"> PAGEREF _Toc309044479 \h </w:instrText>
      </w:r>
      <w:r>
        <w:rPr>
          <w:noProof/>
        </w:rPr>
      </w:r>
      <w:r>
        <w:rPr>
          <w:noProof/>
        </w:rPr>
        <w:fldChar w:fldCharType="separate"/>
      </w:r>
      <w:r w:rsidR="00645B92">
        <w:rPr>
          <w:noProof/>
        </w:rPr>
        <w:t>6</w:t>
      </w:r>
      <w:r>
        <w:rPr>
          <w:noProof/>
        </w:rPr>
        <w:fldChar w:fldCharType="end"/>
      </w:r>
    </w:p>
    <w:p w14:paraId="057FF62D"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2.3</w:t>
      </w:r>
      <w:r>
        <w:rPr>
          <w:rFonts w:asciiTheme="minorHAnsi" w:eastAsiaTheme="minorEastAsia" w:hAnsiTheme="minorHAnsi" w:cstheme="minorBidi"/>
          <w:noProof/>
          <w:sz w:val="24"/>
          <w:szCs w:val="24"/>
          <w:lang w:val="en-GB" w:eastAsia="ja-JP"/>
        </w:rPr>
        <w:tab/>
      </w:r>
      <w:r>
        <w:rPr>
          <w:noProof/>
        </w:rPr>
        <w:t>Fejlhåndtering</w:t>
      </w:r>
      <w:r>
        <w:rPr>
          <w:noProof/>
        </w:rPr>
        <w:tab/>
      </w:r>
      <w:r>
        <w:rPr>
          <w:noProof/>
        </w:rPr>
        <w:fldChar w:fldCharType="begin"/>
      </w:r>
      <w:r>
        <w:rPr>
          <w:noProof/>
        </w:rPr>
        <w:instrText xml:space="preserve"> PAGEREF _Toc309044480 \h </w:instrText>
      </w:r>
      <w:r>
        <w:rPr>
          <w:noProof/>
        </w:rPr>
      </w:r>
      <w:r>
        <w:rPr>
          <w:noProof/>
        </w:rPr>
        <w:fldChar w:fldCharType="separate"/>
      </w:r>
      <w:r w:rsidR="00645B92">
        <w:rPr>
          <w:noProof/>
        </w:rPr>
        <w:t>6</w:t>
      </w:r>
      <w:r>
        <w:rPr>
          <w:noProof/>
        </w:rPr>
        <w:fldChar w:fldCharType="end"/>
      </w:r>
    </w:p>
    <w:p w14:paraId="1913D140"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2.4</w:t>
      </w:r>
      <w:r>
        <w:rPr>
          <w:rFonts w:asciiTheme="minorHAnsi" w:eastAsiaTheme="minorEastAsia" w:hAnsiTheme="minorHAnsi" w:cstheme="minorBidi"/>
          <w:noProof/>
          <w:sz w:val="24"/>
          <w:szCs w:val="24"/>
          <w:lang w:val="en-GB" w:eastAsia="ja-JP"/>
        </w:rPr>
        <w:tab/>
      </w:r>
      <w:r>
        <w:rPr>
          <w:noProof/>
        </w:rPr>
        <w:t>Formater og andet</w:t>
      </w:r>
      <w:r>
        <w:rPr>
          <w:noProof/>
        </w:rPr>
        <w:tab/>
      </w:r>
      <w:r>
        <w:rPr>
          <w:noProof/>
        </w:rPr>
        <w:fldChar w:fldCharType="begin"/>
      </w:r>
      <w:r>
        <w:rPr>
          <w:noProof/>
        </w:rPr>
        <w:instrText xml:space="preserve"> PAGEREF _Toc309044481 \h </w:instrText>
      </w:r>
      <w:r>
        <w:rPr>
          <w:noProof/>
        </w:rPr>
      </w:r>
      <w:r>
        <w:rPr>
          <w:noProof/>
        </w:rPr>
        <w:fldChar w:fldCharType="separate"/>
      </w:r>
      <w:r w:rsidR="00645B92">
        <w:rPr>
          <w:noProof/>
        </w:rPr>
        <w:t>7</w:t>
      </w:r>
      <w:r>
        <w:rPr>
          <w:noProof/>
        </w:rPr>
        <w:fldChar w:fldCharType="end"/>
      </w:r>
    </w:p>
    <w:p w14:paraId="284F40DE"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2.5</w:t>
      </w:r>
      <w:r>
        <w:rPr>
          <w:rFonts w:asciiTheme="minorHAnsi" w:eastAsiaTheme="minorEastAsia" w:hAnsiTheme="minorHAnsi" w:cstheme="minorBidi"/>
          <w:noProof/>
          <w:sz w:val="24"/>
          <w:szCs w:val="24"/>
          <w:lang w:val="en-GB" w:eastAsia="ja-JP"/>
        </w:rPr>
        <w:tab/>
      </w:r>
      <w:r>
        <w:rPr>
          <w:noProof/>
        </w:rPr>
        <w:t>Afgrænsninger</w:t>
      </w:r>
      <w:r>
        <w:rPr>
          <w:noProof/>
        </w:rPr>
        <w:tab/>
      </w:r>
      <w:r>
        <w:rPr>
          <w:noProof/>
        </w:rPr>
        <w:fldChar w:fldCharType="begin"/>
      </w:r>
      <w:r>
        <w:rPr>
          <w:noProof/>
        </w:rPr>
        <w:instrText xml:space="preserve"> PAGEREF _Toc309044482 \h </w:instrText>
      </w:r>
      <w:r>
        <w:rPr>
          <w:noProof/>
        </w:rPr>
      </w:r>
      <w:r>
        <w:rPr>
          <w:noProof/>
        </w:rPr>
        <w:fldChar w:fldCharType="separate"/>
      </w:r>
      <w:r w:rsidR="00645B92">
        <w:rPr>
          <w:noProof/>
        </w:rPr>
        <w:t>7</w:t>
      </w:r>
      <w:r>
        <w:rPr>
          <w:noProof/>
        </w:rPr>
        <w:fldChar w:fldCharType="end"/>
      </w:r>
    </w:p>
    <w:p w14:paraId="03785C78" w14:textId="77777777" w:rsidR="00FF0138" w:rsidRDefault="00FF0138">
      <w:pPr>
        <w:pStyle w:val="TOC1"/>
        <w:tabs>
          <w:tab w:val="left" w:pos="362"/>
          <w:tab w:val="right" w:leader="dot" w:pos="9060"/>
        </w:tabs>
        <w:rPr>
          <w:rFonts w:asciiTheme="minorHAnsi" w:eastAsiaTheme="minorEastAsia" w:hAnsiTheme="minorHAnsi" w:cstheme="minorBidi"/>
          <w:b w:val="0"/>
          <w:noProof/>
          <w:lang w:val="en-GB" w:eastAsia="ja-JP"/>
        </w:rPr>
      </w:pPr>
      <w:r>
        <w:rPr>
          <w:noProof/>
        </w:rPr>
        <w:t>3</w:t>
      </w:r>
      <w:r>
        <w:rPr>
          <w:rFonts w:asciiTheme="minorHAnsi" w:eastAsiaTheme="minorEastAsia" w:hAnsiTheme="minorHAnsi" w:cstheme="minorBidi"/>
          <w:b w:val="0"/>
          <w:noProof/>
          <w:lang w:val="en-GB" w:eastAsia="ja-JP"/>
        </w:rPr>
        <w:tab/>
      </w:r>
      <w:r>
        <w:rPr>
          <w:noProof/>
        </w:rPr>
        <w:t>Baggrundsinformation omkring klienten</w:t>
      </w:r>
      <w:r>
        <w:rPr>
          <w:noProof/>
        </w:rPr>
        <w:tab/>
      </w:r>
      <w:r>
        <w:rPr>
          <w:noProof/>
        </w:rPr>
        <w:fldChar w:fldCharType="begin"/>
      </w:r>
      <w:r>
        <w:rPr>
          <w:noProof/>
        </w:rPr>
        <w:instrText xml:space="preserve"> PAGEREF _Toc309044483 \h </w:instrText>
      </w:r>
      <w:r>
        <w:rPr>
          <w:noProof/>
        </w:rPr>
      </w:r>
      <w:r>
        <w:rPr>
          <w:noProof/>
        </w:rPr>
        <w:fldChar w:fldCharType="separate"/>
      </w:r>
      <w:r w:rsidR="00645B92">
        <w:rPr>
          <w:noProof/>
        </w:rPr>
        <w:t>8</w:t>
      </w:r>
      <w:r>
        <w:rPr>
          <w:noProof/>
        </w:rPr>
        <w:fldChar w:fldCharType="end"/>
      </w:r>
    </w:p>
    <w:p w14:paraId="3B801693" w14:textId="77777777" w:rsidR="00FF0138" w:rsidRDefault="00FF0138">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3.1</w:t>
      </w:r>
      <w:r>
        <w:rPr>
          <w:rFonts w:asciiTheme="minorHAnsi" w:eastAsiaTheme="minorEastAsia" w:hAnsiTheme="minorHAnsi" w:cstheme="minorBidi"/>
          <w:noProof/>
          <w:sz w:val="24"/>
          <w:szCs w:val="24"/>
          <w:lang w:val="en-GB" w:eastAsia="ja-JP"/>
        </w:rPr>
        <w:tab/>
      </w:r>
      <w:r>
        <w:rPr>
          <w:noProof/>
        </w:rPr>
        <w:t>Placering af kildekode</w:t>
      </w:r>
      <w:r>
        <w:rPr>
          <w:noProof/>
        </w:rPr>
        <w:tab/>
      </w:r>
      <w:r>
        <w:rPr>
          <w:noProof/>
        </w:rPr>
        <w:fldChar w:fldCharType="begin"/>
      </w:r>
      <w:r>
        <w:rPr>
          <w:noProof/>
        </w:rPr>
        <w:instrText xml:space="preserve"> PAGEREF _Toc309044484 \h </w:instrText>
      </w:r>
      <w:r>
        <w:rPr>
          <w:noProof/>
        </w:rPr>
      </w:r>
      <w:r>
        <w:rPr>
          <w:noProof/>
        </w:rPr>
        <w:fldChar w:fldCharType="separate"/>
      </w:r>
      <w:r w:rsidR="00645B92">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0" w:name="_Toc309044468"/>
      <w:r>
        <w:lastRenderedPageBreak/>
        <w:t>Anvenderguide til den visuelle testdataklient</w:t>
      </w:r>
      <w:bookmarkEnd w:id="0"/>
    </w:p>
    <w:p w14:paraId="0C8FC0EB" w14:textId="77777777" w:rsidR="00411B14" w:rsidRDefault="00411B14" w:rsidP="00411B14">
      <w:r>
        <w:t>NSI har udviklet en visuel klient, der er en funktionel prototype til  brug for ikke-teknikeres administration af testdata i de fælles testmiljøer.</w:t>
      </w:r>
    </w:p>
    <w:p w14:paraId="01E89CB1" w14:textId="3B4F6137" w:rsidR="00411B14" w:rsidRDefault="00411B14" w:rsidP="00411B14">
      <w:r>
        <w:t>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w:t>
      </w:r>
      <w:r>
        <w:t>a</w:t>
      </w:r>
      <w:r>
        <w:t xml:space="preserve">beloner” til at overskrive andre testpatienters kliniske data. </w:t>
      </w:r>
      <w:r w:rsidR="0069756D">
        <w:t>Endvidere kan klienten benyttes til at nulstille testpatienters kliniske data.</w:t>
      </w:r>
      <w:r w:rsidR="00A4410C">
        <w:t xml:space="preserve"> </w:t>
      </w:r>
      <w:r>
        <w:t>Med klienten kan disse arbejdsgange gennemføres ved et enkelt klik på en knap, når man har valgt kilde og mål samt hvilke testpatienter der ønskes håndteret.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w:t>
      </w:r>
      <w:r>
        <w:t>a</w:t>
      </w:r>
      <w:r>
        <w:t>rende overskriver testdata, der anvendes af andre personer eller organisationer.</w:t>
      </w:r>
    </w:p>
    <w:p w14:paraId="668FB8EB" w14:textId="77777777" w:rsidR="00411B14" w:rsidRDefault="00411B14" w:rsidP="00411B14">
      <w:pPr>
        <w:pStyle w:val="Heading2"/>
      </w:pPr>
      <w:bookmarkStart w:id="1" w:name="_Toc309044469"/>
      <w:r>
        <w:t>Overordnet beskrivelse af hvordan klienten anvendes</w:t>
      </w:r>
      <w:bookmarkEnd w:id="1"/>
    </w:p>
    <w:p w14:paraId="32B5FA85" w14:textId="77777777" w:rsidR="00411B14" w:rsidRDefault="00411B14" w:rsidP="00411B14">
      <w:r>
        <w:t>På figuren nedenfor er klienten illustreret, med tekstbokse der beskriver de enkelte trin, man skal gennemføre for at anvende klienten.</w:t>
      </w:r>
    </w:p>
    <w:p w14:paraId="2B4B587F" w14:textId="03499A14" w:rsidR="00411B14" w:rsidRDefault="00411B14" w:rsidP="0069756D">
      <w:pPr>
        <w:rPr>
          <w:i/>
        </w:rPr>
      </w:pPr>
      <w:r w:rsidRPr="003021BB">
        <w:rPr>
          <w:i/>
        </w:rPr>
        <w:t>Bemærk at brug af klienten forudsætter at en teknisk administrator har konfigureret klienten korrekt, da den ellers vil fejle ved opstart.</w:t>
      </w:r>
    </w:p>
    <w:p w14:paraId="463225C2" w14:textId="77777777" w:rsidR="00F34CBC" w:rsidRPr="00F34CBC" w:rsidRDefault="00F34CBC" w:rsidP="0069756D">
      <w:pPr>
        <w:rPr>
          <w:noProof/>
          <w:lang w:val="en-US" w:eastAsia="en-US"/>
        </w:rPr>
      </w:pPr>
    </w:p>
    <w:p w14:paraId="39A89622" w14:textId="399C1195" w:rsidR="00F34CBC" w:rsidRDefault="00505348" w:rsidP="0069756D">
      <w:r>
        <w:rPr>
          <w:noProof/>
          <w:lang w:val="en-US" w:eastAsia="en-US"/>
        </w:rPr>
        <w:drawing>
          <wp:inline distT="0" distB="0" distL="0" distR="0" wp14:anchorId="0439D935" wp14:editId="5693639B">
            <wp:extent cx="5759450" cy="3850795"/>
            <wp:effectExtent l="0" t="0" r="635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50795"/>
                    </a:xfrm>
                    <a:prstGeom prst="rect">
                      <a:avLst/>
                    </a:prstGeom>
                    <a:noFill/>
                    <a:ln>
                      <a:noFill/>
                    </a:ln>
                  </pic:spPr>
                </pic:pic>
              </a:graphicData>
            </a:graphic>
          </wp:inline>
        </w:drawing>
      </w:r>
      <w:bookmarkStart w:id="2" w:name="_GoBack"/>
      <w:bookmarkEnd w:id="2"/>
    </w:p>
    <w:p w14:paraId="0CDF56F3" w14:textId="77777777" w:rsidR="00F34CBC" w:rsidRDefault="00F34CBC" w:rsidP="00411B14"/>
    <w:p w14:paraId="048EC407" w14:textId="77777777" w:rsidR="00411B14" w:rsidRDefault="00411B14" w:rsidP="00411B14">
      <w:r>
        <w:lastRenderedPageBreak/>
        <w:t>Klienten består af en enkelt fil, ”dump-restore-client.jar”, og startes op ved at man dobbel</w:t>
      </w:r>
      <w:r>
        <w:t>t</w:t>
      </w:r>
      <w:r>
        <w:t>klikker på filen.</w:t>
      </w:r>
    </w:p>
    <w:p w14:paraId="7402FA62" w14:textId="77777777" w:rsidR="00411B14" w:rsidRDefault="00411B14" w:rsidP="00411B14">
      <w:pPr>
        <w:pStyle w:val="Heading2"/>
      </w:pPr>
      <w:bookmarkStart w:id="3" w:name="_Toc309044470"/>
      <w:r>
        <w:t>Gennemgang af hvordan klienten anvendes</w:t>
      </w:r>
      <w:bookmarkEnd w:id="3"/>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w:t>
      </w:r>
      <w:r>
        <w:t>e</w:t>
      </w:r>
      <w:r>
        <w:t>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4" w:name="_Toc309044471"/>
      <w:r>
        <w:t>Trin 1: Vælg testpatienter</w:t>
      </w:r>
      <w:bookmarkEnd w:id="4"/>
    </w:p>
    <w:p w14:paraId="23B9760A" w14:textId="77777777" w:rsidR="00411B14" w:rsidRDefault="00411B14" w:rsidP="00411B14">
      <w:r>
        <w:t>Klienten giver mulighed for både manuel indtastning af testpatienter (max 10). Hvis der a</w:t>
      </w:r>
      <w:r>
        <w:t>r</w:t>
      </w:r>
      <w:r>
        <w:t>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t>
      </w:r>
      <w:proofErr w:type="spellStart"/>
      <w:r>
        <w:t>whitespace</w:t>
      </w:r>
      <w:proofErr w:type="spellEnd"/>
      <w:r>
        <w:t>”,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F176916" w14:textId="3873928A" w:rsidR="00F34CBC" w:rsidRDefault="00F34CBC" w:rsidP="00411B14">
      <w:pPr>
        <w:pStyle w:val="Heading3"/>
      </w:pPr>
      <w:bookmarkStart w:id="5" w:name="_Toc309044472"/>
      <w:r>
        <w:t xml:space="preserve">Trin 2: Vælg tjenester </w:t>
      </w:r>
    </w:p>
    <w:p w14:paraId="7F506432" w14:textId="6FF2912A" w:rsidR="00F34CBC" w:rsidRPr="00F34CBC" w:rsidRDefault="00F34CBC" w:rsidP="00F34CBC">
      <w:r>
        <w:t xml:space="preserve">Brugeren har i kassen ’Services’ mulighed for angive hvilke tjenester der skal indgå i Dump og </w:t>
      </w:r>
      <w:proofErr w:type="spellStart"/>
      <w:r>
        <w:t>Restore</w:t>
      </w:r>
      <w:proofErr w:type="spellEnd"/>
      <w:r>
        <w:t xml:space="preserve">. Brugeren </w:t>
      </w:r>
      <w:r w:rsidR="00D71506">
        <w:t xml:space="preserve">kan vælge mellem de tjenester den </w:t>
      </w:r>
      <w:r w:rsidR="00D71506" w:rsidRPr="00D71506">
        <w:t>teknisk</w:t>
      </w:r>
      <w:r w:rsidR="00D71506">
        <w:t>e</w:t>
      </w:r>
      <w:r w:rsidR="00D71506" w:rsidRPr="00D71506">
        <w:t xml:space="preserve"> administrator </w:t>
      </w:r>
      <w:r w:rsidR="00D71506">
        <w:t>har konfig</w:t>
      </w:r>
      <w:r w:rsidR="00D71506">
        <w:t>u</w:t>
      </w:r>
      <w:r w:rsidR="00D71506">
        <w:t>reret.</w:t>
      </w:r>
    </w:p>
    <w:p w14:paraId="3CF78905" w14:textId="77777777" w:rsidR="00F34CBC" w:rsidRPr="00F34CBC" w:rsidRDefault="00F34CBC" w:rsidP="00F34CBC"/>
    <w:p w14:paraId="6C1CC9CA" w14:textId="00EC91EC" w:rsidR="00411B14" w:rsidRDefault="00411B14" w:rsidP="00411B14">
      <w:pPr>
        <w:pStyle w:val="Heading3"/>
      </w:pPr>
      <w:r>
        <w:t xml:space="preserve">Trin </w:t>
      </w:r>
      <w:r w:rsidR="00F34CBC">
        <w:t>3</w:t>
      </w:r>
      <w:r>
        <w:t>: Vælg hvorfra testpatienternes data hentes</w:t>
      </w:r>
      <w:bookmarkEnd w:id="5"/>
    </w:p>
    <w:p w14:paraId="27764232" w14:textId="77777777" w:rsidR="00DA7E52" w:rsidRDefault="0000607E" w:rsidP="00DA7E52">
      <w:r>
        <w:t>Klienten kan indlæse testpatienter både fra de fælles miljøer og fra en backup taget tidligere. Ønskes der indlæst fra et testmiljø vælges det pågældende miljø i drop-</w:t>
      </w:r>
      <w:proofErr w:type="spellStart"/>
      <w:r>
        <w:t>down</w:t>
      </w:r>
      <w:proofErr w:type="spellEnd"/>
      <w:r>
        <w:t xml:space="preserve"> listen. Det vil da fremgå til højre at man har valgt ”miljø” som kilde.</w:t>
      </w:r>
    </w:p>
    <w:p w14:paraId="7ED63CB8" w14:textId="77777777" w:rsidR="0000607E" w:rsidRPr="00DA7E52" w:rsidRDefault="0000607E" w:rsidP="00DA7E52">
      <w:r>
        <w:lastRenderedPageBreak/>
        <w:t>Ønskes der indlæst fra en backup klikkes på knappen ”Vælg folder”, og det fremgår til højre for knappen at man har valgt ”lokal folder” som kilde.</w:t>
      </w:r>
    </w:p>
    <w:p w14:paraId="7BE466C3" w14:textId="2D3256EC" w:rsidR="00411B14" w:rsidRDefault="00411B14" w:rsidP="00411B14">
      <w:pPr>
        <w:pStyle w:val="Heading3"/>
      </w:pPr>
      <w:bookmarkStart w:id="6" w:name="_Toc309044473"/>
      <w:r>
        <w:t xml:space="preserve">Trin </w:t>
      </w:r>
      <w:r w:rsidR="00F34CBC">
        <w:t>4</w:t>
      </w:r>
      <w:r>
        <w:t>: Vælg hvor testpatienternes data skal placeres</w:t>
      </w:r>
      <w:bookmarkEnd w:id="6"/>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t>Uanset hvor data vælges er det cpr-numrene i kolonne 2 (se Trin 1 ovenfor), der styrer hvilke testpatienters data der overskrives/gemmes lokalt.</w:t>
      </w:r>
    </w:p>
    <w:p w14:paraId="430C6F5F" w14:textId="71ADE2D6" w:rsidR="00411B14" w:rsidRDefault="00411B14" w:rsidP="00411B14">
      <w:pPr>
        <w:pStyle w:val="Heading3"/>
      </w:pPr>
      <w:bookmarkStart w:id="7" w:name="_Toc309044474"/>
      <w:r>
        <w:t xml:space="preserve">Trin </w:t>
      </w:r>
      <w:r w:rsidR="00F34CBC">
        <w:t>5</w:t>
      </w:r>
      <w:r>
        <w:t>: Verificer at de foretagne valg er ok</w:t>
      </w:r>
      <w:bookmarkEnd w:id="7"/>
    </w:p>
    <w:p w14:paraId="4F196CCC" w14:textId="77777777" w:rsidR="0000607E" w:rsidRDefault="0000607E" w:rsidP="0000607E">
      <w:r>
        <w:t>Tekstfelterne i kassen ”Udførelse” opdateres automatisk af klienten efterhånden som de f</w:t>
      </w:r>
      <w:r>
        <w:t>o</w:t>
      </w:r>
      <w:r>
        <w:t>regående trin gennemføres. Brugeren kan her verificere at de foretagne valg er som ønsket, inden der fortsættes til næste trin.</w:t>
      </w:r>
    </w:p>
    <w:p w14:paraId="1D6FAD6C" w14:textId="6AD2B085" w:rsidR="00411B14" w:rsidRDefault="00F34CBC" w:rsidP="00411B14">
      <w:pPr>
        <w:pStyle w:val="Heading3"/>
      </w:pPr>
      <w:bookmarkStart w:id="8" w:name="_Toc309044475"/>
      <w:r>
        <w:t>Trin 6</w:t>
      </w:r>
      <w:r w:rsidR="00411B14">
        <w:t>: Udfør!</w:t>
      </w:r>
      <w:bookmarkEnd w:id="8"/>
      <w:r w:rsidR="004059B6">
        <w:t xml:space="preserve"> eller Nulstil kildedata! </w:t>
      </w:r>
    </w:p>
    <w:p w14:paraId="605CBD82" w14:textId="116F8B6E" w:rsidR="00411B14" w:rsidRDefault="00411B14" w:rsidP="0000607E">
      <w:pPr>
        <w:spacing w:before="0" w:line="240" w:lineRule="auto"/>
      </w:pPr>
      <w:r>
        <w:t xml:space="preserve">Når brugeren er tilfreds med valgene </w:t>
      </w:r>
      <w:r w:rsidR="0000607E">
        <w:t xml:space="preserve">(se Trin 4) </w:t>
      </w:r>
      <w:r>
        <w:t>trykkes der på ”Udfør!”</w:t>
      </w:r>
      <w:r w:rsidR="004059B6">
        <w:t xml:space="preserve"> eller ”Nulstil kilded</w:t>
      </w:r>
      <w:r w:rsidR="004059B6">
        <w:t>a</w:t>
      </w:r>
      <w:r w:rsidR="004059B6">
        <w:t>ta!”</w:t>
      </w:r>
      <w:r>
        <w:t>.</w:t>
      </w:r>
    </w:p>
    <w:p w14:paraId="3831C5F0" w14:textId="51F5C62C" w:rsidR="00F87833" w:rsidRDefault="00510057" w:rsidP="0000607E">
      <w:pPr>
        <w:spacing w:before="0" w:line="240" w:lineRule="auto"/>
      </w:pPr>
      <w:r>
        <w:t xml:space="preserve">Bemærk at cpr-numrene automatisk valideres af klienten hvis </w:t>
      </w:r>
      <w:r w:rsidR="00683876">
        <w:t>den valgte operation</w:t>
      </w:r>
      <w:r w:rsidR="000A4476">
        <w:t xml:space="preserve"> vil medf</w:t>
      </w:r>
      <w:r w:rsidR="000A4476">
        <w:t>ø</w:t>
      </w:r>
      <w:r w:rsidR="000A4476">
        <w:t xml:space="preserve">re en ændring af </w:t>
      </w:r>
      <w:r w:rsidR="00683876">
        <w:t>data</w:t>
      </w:r>
      <w:r>
        <w:t xml:space="preserve"> </w:t>
      </w:r>
      <w:r w:rsidR="00683876">
        <w:t>på</w:t>
      </w:r>
      <w:r w:rsidR="000A4476">
        <w:t xml:space="preserve"> et </w:t>
      </w:r>
      <w:r>
        <w:t>fælles testmiljø, og at operationen fejler hvis man har angivet cpr-numre, man ikke har lov til at overskrive data for.</w:t>
      </w:r>
      <w:r w:rsidR="00F87833">
        <w:t xml:space="preserve"> Bemærk endvidere at klienten overskr</w:t>
      </w:r>
      <w:r w:rsidR="00F87833">
        <w:t>i</w:t>
      </w:r>
      <w:r w:rsidR="00F87833">
        <w:t>ver eventuelle eksisterende back</w:t>
      </w:r>
      <w:r w:rsidR="000A4476">
        <w:t>ups i en angiv</w:t>
      </w:r>
      <w:r w:rsidR="00F87833">
        <w:t>e</w:t>
      </w:r>
      <w:r w:rsidR="000A4476">
        <w:t>n</w:t>
      </w:r>
      <w:r w:rsidR="00F87833">
        <w:t xml:space="preserve"> folder.</w:t>
      </w:r>
    </w:p>
    <w:p w14:paraId="669D3A25" w14:textId="133D97DC" w:rsidR="00411B14" w:rsidRDefault="00F34CBC" w:rsidP="00411B14">
      <w:pPr>
        <w:pStyle w:val="Heading3"/>
      </w:pPr>
      <w:bookmarkStart w:id="9" w:name="_Toc309044476"/>
      <w:r>
        <w:t>Trin 7</w:t>
      </w:r>
      <w:r w:rsidR="00411B14">
        <w:t>: Verificer at alt gik godt</w:t>
      </w:r>
      <w:bookmarkEnd w:id="9"/>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0" w:name="_Toc309044477"/>
      <w:r>
        <w:lastRenderedPageBreak/>
        <w:t>Dokumentation til teknikere og administratorer</w:t>
      </w:r>
      <w:bookmarkEnd w:id="10"/>
    </w:p>
    <w:p w14:paraId="04E540BB" w14:textId="77777777" w:rsidR="00411B14" w:rsidRDefault="00411B14" w:rsidP="00411B14"/>
    <w:p w14:paraId="69F0F37D" w14:textId="77777777" w:rsidR="00411B14" w:rsidRPr="005E4227" w:rsidRDefault="00411B14" w:rsidP="00FB4078">
      <w:pPr>
        <w:pStyle w:val="Heading2"/>
      </w:pPr>
      <w:bookmarkStart w:id="11" w:name="_Toc309044478"/>
      <w:r>
        <w:t>Konfiguration og sikkerhed</w:t>
      </w:r>
      <w:bookmarkEnd w:id="11"/>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w:t>
      </w:r>
      <w:proofErr w:type="spellStart"/>
      <w:r>
        <w:t>Restore</w:t>
      </w:r>
      <w:proofErr w:type="spellEnd"/>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w:t>
      </w:r>
      <w:r>
        <w:t>t</w:t>
      </w:r>
      <w:r>
        <w: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proofErr w:type="spellStart"/>
      <w:r>
        <w:t>Endpoints</w:t>
      </w:r>
      <w:proofErr w:type="spellEnd"/>
      <w:r>
        <w:t xml:space="preserve"> </w:t>
      </w:r>
      <w:r w:rsidR="00484369">
        <w:t>til</w:t>
      </w:r>
      <w:r>
        <w:t xml:space="preserve"> de forskellige miljøer</w:t>
      </w:r>
      <w:r w:rsidR="00484369">
        <w:t xml:space="preserve"> og nationale services</w:t>
      </w:r>
      <w:r>
        <w:t xml:space="preserve"> konfigureres</w:t>
      </w:r>
      <w:r w:rsidR="00484369">
        <w:t xml:space="preserve"> ligeledes i ko</w:t>
      </w:r>
      <w:r w:rsidR="00484369">
        <w:t>n</w:t>
      </w:r>
      <w:r w:rsidR="00484369">
        <w:t xml:space="preserve">figurationsfilen. </w:t>
      </w:r>
    </w:p>
    <w:p w14:paraId="1326674D" w14:textId="77777777" w:rsidR="00411B14" w:rsidRDefault="00411B14" w:rsidP="00411B14">
      <w:pPr>
        <w:pStyle w:val="ListParagraph"/>
        <w:numPr>
          <w:ilvl w:val="0"/>
          <w:numId w:val="27"/>
        </w:numPr>
        <w:spacing w:before="0" w:line="240" w:lineRule="auto"/>
      </w:pPr>
      <w:r>
        <w:t xml:space="preserve">Nye nationale services kan tilføjes som en del af konfigurationen (ved angivelse af </w:t>
      </w:r>
      <w:proofErr w:type="spellStart"/>
      <w:r>
        <w:t>endpoints</w:t>
      </w:r>
      <w:proofErr w:type="spellEnd"/>
      <w:r>
        <w:t xml:space="preserve"> for Dump/</w:t>
      </w:r>
      <w:proofErr w:type="spellStart"/>
      <w:r>
        <w:t>Restore</w:t>
      </w:r>
      <w:proofErr w:type="spellEnd"/>
      <w:r>
        <w:t xml:space="preserve"> for hver national service).</w:t>
      </w:r>
    </w:p>
    <w:p w14:paraId="4355AD18" w14:textId="7EAB086C" w:rsidR="00411B14" w:rsidRDefault="00411B14" w:rsidP="00411B14">
      <w:pPr>
        <w:pStyle w:val="ListParagraph"/>
        <w:numPr>
          <w:ilvl w:val="0"/>
          <w:numId w:val="27"/>
        </w:numPr>
        <w:spacing w:before="0" w:line="240" w:lineRule="auto"/>
      </w:pPr>
      <w:r>
        <w:t xml:space="preserve">Brugeren </w:t>
      </w:r>
      <w:r w:rsidR="00645B92">
        <w:t xml:space="preserve">kan i klienten vælge, hvilke af de </w:t>
      </w:r>
      <w:r>
        <w:t xml:space="preserve">nationale services, der </w:t>
      </w:r>
      <w:r w:rsidR="003B1DB9">
        <w:t xml:space="preserve">skal </w:t>
      </w:r>
      <w:r>
        <w:t xml:space="preserve">kaldes – </w:t>
      </w:r>
      <w:r w:rsidR="00645B92">
        <w:t>ud fra de</w:t>
      </w:r>
      <w:r>
        <w:t xml:space="preserve"> </w:t>
      </w:r>
      <w:r w:rsidR="00645B92">
        <w:t>services der e</w:t>
      </w:r>
      <w:r>
        <w:t>r konfigur</w:t>
      </w:r>
      <w:r w:rsidR="00645B92">
        <w:t>eret</w:t>
      </w:r>
      <w:r>
        <w:t>.</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2" w:name="_Toc309044479"/>
      <w:r>
        <w:t>Kald til nationale services</w:t>
      </w:r>
      <w:bookmarkEnd w:id="12"/>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w:t>
      </w:r>
      <w:r>
        <w:t>r</w:t>
      </w:r>
      <w:r>
        <w:t>vice).</w:t>
      </w:r>
    </w:p>
    <w:p w14:paraId="554B8FAB" w14:textId="77777777" w:rsidR="00510057" w:rsidRDefault="00510057" w:rsidP="00411B14">
      <w:pPr>
        <w:pStyle w:val="ListParagraph"/>
        <w:numPr>
          <w:ilvl w:val="0"/>
          <w:numId w:val="27"/>
        </w:numPr>
        <w:spacing w:before="0" w:line="240" w:lineRule="auto"/>
      </w:pPr>
      <w:r>
        <w:t xml:space="preserve">Klienten leveres prækonfigureret med de fire fælles miljøer og FMK </w:t>
      </w:r>
      <w:proofErr w:type="spellStart"/>
      <w:r>
        <w:t>endpoints</w:t>
      </w:r>
      <w:proofErr w:type="spellEnd"/>
      <w:r>
        <w:t>.</w:t>
      </w:r>
    </w:p>
    <w:p w14:paraId="4ED3750D" w14:textId="77777777" w:rsidR="00510057" w:rsidRDefault="00510057" w:rsidP="00411B14">
      <w:pPr>
        <w:pStyle w:val="ListParagraph"/>
        <w:numPr>
          <w:ilvl w:val="0"/>
          <w:numId w:val="27"/>
        </w:numPr>
        <w:spacing w:before="0" w:line="240" w:lineRule="auto"/>
      </w:pPr>
      <w:r>
        <w:t xml:space="preserve">Ønskes der flere </w:t>
      </w:r>
      <w:proofErr w:type="spellStart"/>
      <w:r>
        <w:t>endpoints</w:t>
      </w:r>
      <w:proofErr w:type="spellEnd"/>
      <w:r>
        <w:t xml:space="preserve"> (f.eks. DDV når denne stilles til rådighed) skal konfigurat</w:t>
      </w:r>
      <w:r>
        <w:t>i</w:t>
      </w:r>
      <w:r>
        <w:t>onsfilen blot udvides med disse, så vil klienten automatisk inkludere disse i udføre</w:t>
      </w:r>
      <w:r>
        <w:t>l</w:t>
      </w:r>
      <w:r>
        <w:t>sen.</w:t>
      </w:r>
    </w:p>
    <w:p w14:paraId="213E5D13" w14:textId="77777777" w:rsidR="00411B14" w:rsidRDefault="00411B14" w:rsidP="00411B14"/>
    <w:p w14:paraId="70856436" w14:textId="77777777" w:rsidR="00411B14" w:rsidRPr="004A4ABC" w:rsidRDefault="00411B14" w:rsidP="00FB4078">
      <w:pPr>
        <w:pStyle w:val="Heading2"/>
      </w:pPr>
      <w:bookmarkStart w:id="13" w:name="_Toc309044480"/>
      <w:r>
        <w:t>Fejlhåndtering</w:t>
      </w:r>
      <w:bookmarkEnd w:id="13"/>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w:t>
      </w:r>
      <w:proofErr w:type="spellStart"/>
      <w:r>
        <w:t>transa</w:t>
      </w:r>
      <w:r>
        <w:t>k</w:t>
      </w:r>
      <w:r>
        <w:t>tionelle</w:t>
      </w:r>
      <w:proofErr w:type="spellEnd"/>
      <w:r>
        <w:t>).</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 xml:space="preserve">Kaldet til </w:t>
      </w:r>
      <w:proofErr w:type="spellStart"/>
      <w:r>
        <w:t>Restore</w:t>
      </w:r>
      <w:proofErr w:type="spellEnd"/>
      <w:r>
        <w:t xml:space="preserv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19876905" w14:textId="7FE9BD86" w:rsidR="00076DA7" w:rsidRDefault="00411B14" w:rsidP="00DD4CB5">
      <w:pPr>
        <w:pStyle w:val="ListParagraph"/>
        <w:numPr>
          <w:ilvl w:val="2"/>
          <w:numId w:val="27"/>
        </w:numPr>
        <w:spacing w:before="0" w:line="240" w:lineRule="auto"/>
      </w:pPr>
      <w:r>
        <w:t xml:space="preserve">Dumpfiler har en vis levetid, og kald til </w:t>
      </w:r>
      <w:proofErr w:type="spellStart"/>
      <w:r>
        <w:t>Restore</w:t>
      </w:r>
      <w:proofErr w:type="spellEnd"/>
      <w:r>
        <w:t xml:space="preserve"> med en forældet vers</w:t>
      </w:r>
      <w:r>
        <w:t>i</w:t>
      </w:r>
      <w:r>
        <w:t>on af en dumpfil afvises af den nationale service</w:t>
      </w:r>
    </w:p>
    <w:p w14:paraId="53ADEC5E" w14:textId="77777777" w:rsidR="00411B14" w:rsidRDefault="00411B14" w:rsidP="00DD4CB5">
      <w:pPr>
        <w:pStyle w:val="ListParagraph"/>
        <w:keepNext/>
        <w:keepLines/>
        <w:numPr>
          <w:ilvl w:val="0"/>
          <w:numId w:val="27"/>
        </w:numPr>
        <w:spacing w:before="0" w:line="240" w:lineRule="auto"/>
      </w:pPr>
      <w:r>
        <w:lastRenderedPageBreak/>
        <w:t>Eksempler på fejl, der stopper udførelsen:</w:t>
      </w:r>
    </w:p>
    <w:p w14:paraId="5251A851" w14:textId="77777777" w:rsidR="00411B14" w:rsidRDefault="00411B14" w:rsidP="00DD4CB5">
      <w:pPr>
        <w:pStyle w:val="ListParagraph"/>
        <w:keepNext/>
        <w:keepLines/>
        <w:numPr>
          <w:ilvl w:val="1"/>
          <w:numId w:val="27"/>
        </w:numPr>
        <w:spacing w:before="0" w:line="240" w:lineRule="auto"/>
      </w:pPr>
      <w:r>
        <w:rPr>
          <w:b/>
        </w:rPr>
        <w:t>National service ikke tilgængelig</w:t>
      </w:r>
    </w:p>
    <w:p w14:paraId="21B300EC" w14:textId="77777777" w:rsidR="00411B14" w:rsidRDefault="00411B14" w:rsidP="00DD4CB5">
      <w:pPr>
        <w:pStyle w:val="ListParagraph"/>
        <w:keepNext/>
        <w:keepLines/>
        <w:numPr>
          <w:ilvl w:val="2"/>
          <w:numId w:val="27"/>
        </w:numPr>
        <w:spacing w:before="0" w:line="240" w:lineRule="auto"/>
      </w:pPr>
      <w:r>
        <w:t xml:space="preserve">Dump eller </w:t>
      </w:r>
      <w:proofErr w:type="spellStart"/>
      <w:r>
        <w:t>Restore</w:t>
      </w:r>
      <w:proofErr w:type="spellEnd"/>
      <w:r>
        <w:t xml:space="preserve"> webservicen er ikke tilgængelig for en eller flere af de nationale services</w:t>
      </w:r>
    </w:p>
    <w:p w14:paraId="6B371AE0" w14:textId="77777777" w:rsidR="00411B14" w:rsidRDefault="00411B14" w:rsidP="00DD4CB5">
      <w:pPr>
        <w:pStyle w:val="ListParagraph"/>
        <w:keepNext/>
        <w:keepLines/>
        <w:numPr>
          <w:ilvl w:val="1"/>
          <w:numId w:val="27"/>
        </w:numPr>
        <w:spacing w:before="0" w:line="240" w:lineRule="auto"/>
      </w:pPr>
      <w:r>
        <w:rPr>
          <w:b/>
        </w:rPr>
        <w:t>Den lokale folder findes ikke</w:t>
      </w:r>
    </w:p>
    <w:p w14:paraId="3C0EE59B" w14:textId="77777777" w:rsidR="00411B14" w:rsidRDefault="00411B14" w:rsidP="00DD4CB5">
      <w:pPr>
        <w:pStyle w:val="ListParagraph"/>
        <w:keepNext/>
        <w:keepLines/>
        <w:numPr>
          <w:ilvl w:val="2"/>
          <w:numId w:val="27"/>
        </w:numPr>
        <w:spacing w:before="0" w:line="240" w:lineRule="auto"/>
      </w:pPr>
      <w:r>
        <w:t>Den angivne lokale folder findes ikke</w:t>
      </w:r>
    </w:p>
    <w:p w14:paraId="228B4A3F" w14:textId="2A77976E" w:rsidR="00411B14" w:rsidDel="00076DA7" w:rsidRDefault="00411B14" w:rsidP="00DD4CB5">
      <w:pPr>
        <w:pStyle w:val="ListParagraph"/>
        <w:keepNext/>
        <w:keepLines/>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DD4CB5">
      <w:pPr>
        <w:pStyle w:val="ListParagraph"/>
        <w:keepNext/>
        <w:keepLines/>
        <w:numPr>
          <w:ilvl w:val="2"/>
          <w:numId w:val="27"/>
        </w:numPr>
        <w:spacing w:before="0" w:line="240" w:lineRule="auto"/>
      </w:pPr>
      <w:r w:rsidDel="00076DA7">
        <w:t>Et eller flere af cpr-numrene på mållisten optræder ikke på positivlisten</w:t>
      </w:r>
    </w:p>
    <w:p w14:paraId="67490646" w14:textId="77777777" w:rsidR="00411B14" w:rsidRPr="004A4ABC" w:rsidRDefault="00411B14" w:rsidP="00FB4078">
      <w:pPr>
        <w:pStyle w:val="Heading2"/>
      </w:pPr>
      <w:bookmarkStart w:id="14" w:name="_Toc309044481"/>
      <w:r>
        <w:t>Formater og andet</w:t>
      </w:r>
      <w:bookmarkEnd w:id="14"/>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17E34214" w:rsidR="00411B14" w:rsidRDefault="00411B14" w:rsidP="00411B14">
      <w:pPr>
        <w:pStyle w:val="ListParagraph"/>
        <w:numPr>
          <w:ilvl w:val="0"/>
          <w:numId w:val="27"/>
        </w:numPr>
        <w:spacing w:before="0" w:line="240" w:lineRule="auto"/>
      </w:pPr>
      <w:r>
        <w:t>Ved CPR-numre hvori der indgår bogstaver er der forskel på store og små bogstaver, f.eks. er disse to CPR-numre ikke identiske: ”1234567AA0” – ”1234567aa0”.</w:t>
      </w:r>
    </w:p>
    <w:p w14:paraId="3123EC30" w14:textId="77777777" w:rsidR="00411B14" w:rsidRDefault="00411B14" w:rsidP="00411B14">
      <w:pPr>
        <w:pStyle w:val="Heading2"/>
      </w:pPr>
      <w:bookmarkStart w:id="15" w:name="_Toc309044482"/>
      <w:r>
        <w:t>Afgrænsninger</w:t>
      </w:r>
      <w:bookmarkEnd w:id="15"/>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w:t>
      </w:r>
      <w:proofErr w:type="spellStart"/>
      <w:r>
        <w:t>Restore</w:t>
      </w:r>
      <w:proofErr w:type="spellEnd"/>
      <w:r>
        <w:t>, dvs. klin</w:t>
      </w:r>
      <w:r>
        <w:t>i</w:t>
      </w:r>
      <w:r>
        <w:t>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w:t>
      </w:r>
      <w:r>
        <w:t>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01B63A52" w:rsidR="00411B14" w:rsidRDefault="00FB4078" w:rsidP="00411B14">
      <w:pPr>
        <w:pStyle w:val="ListParagraph"/>
        <w:numPr>
          <w:ilvl w:val="0"/>
          <w:numId w:val="27"/>
        </w:numPr>
        <w:spacing w:before="0" w:line="240" w:lineRule="auto"/>
      </w:pPr>
      <w:r>
        <w:t xml:space="preserve">Klienten er testet på </w:t>
      </w:r>
      <w:r w:rsidR="00411B14">
        <w:t>Ja</w:t>
      </w:r>
      <w:r w:rsidR="00A4410C">
        <w:t xml:space="preserve">va 6, </w:t>
      </w:r>
      <w:r>
        <w:t xml:space="preserve">7 </w:t>
      </w:r>
      <w:r w:rsidR="00A4410C">
        <w:t xml:space="preserve">og 8 </w:t>
      </w:r>
      <w:r>
        <w:t>på Mac og Windows XP, og formodes at køre på ældre versioner af Java også (dog ikke testet).</w:t>
      </w:r>
    </w:p>
    <w:p w14:paraId="1EC60F31" w14:textId="77777777" w:rsidR="00411B14" w:rsidRDefault="00411B14" w:rsidP="00411B14"/>
    <w:p w14:paraId="2F4196EE" w14:textId="77777777" w:rsidR="00411B14" w:rsidRPr="00595A22" w:rsidRDefault="00411B14" w:rsidP="00FB4078">
      <w:pPr>
        <w:pStyle w:val="Heading1"/>
      </w:pPr>
      <w:bookmarkStart w:id="16" w:name="_Toc309044483"/>
      <w:r>
        <w:lastRenderedPageBreak/>
        <w:t>Baggrundsinformation omkring klienten</w:t>
      </w:r>
      <w:bookmarkEnd w:id="16"/>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w:t>
      </w:r>
      <w:r>
        <w:t>a</w:t>
      </w:r>
      <w:r>
        <w:t>gestille” en testpatient til en tidligere klinisk tilstand.</w:t>
      </w:r>
    </w:p>
    <w:p w14:paraId="1CF233A7" w14:textId="77777777" w:rsidR="00411B14" w:rsidRDefault="00411B14" w:rsidP="00411B14">
      <w:r>
        <w:t>I praksis foregår denne administration gennem brug af to standardiserede, tekniske webse</w:t>
      </w:r>
      <w:r>
        <w:t>r</w:t>
      </w:r>
      <w:r>
        <w:t xml:space="preserve">vices, Dump og </w:t>
      </w:r>
      <w:proofErr w:type="spellStart"/>
      <w:r>
        <w:t>Restore</w:t>
      </w:r>
      <w:proofErr w:type="spellEnd"/>
      <w:r>
        <w:t>.</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w:t>
      </w:r>
      <w:r>
        <w:t>p</w:t>
      </w:r>
      <w:r>
        <w:t>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7" w:name="_Toc309044484"/>
      <w:r>
        <w:t>Placering af kildekode</w:t>
      </w:r>
      <w:bookmarkEnd w:id="17"/>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505348" w:rsidP="00411B14">
      <w:pPr>
        <w:jc w:val="center"/>
        <w:rPr>
          <w:rStyle w:val="Hyperlink"/>
        </w:rPr>
      </w:pPr>
      <w:hyperlink r:id="rId11"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2"/>
      <w:headerReference w:type="first" r:id="rId13"/>
      <w:footerReference w:type="first" r:id="rId14"/>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4FFAB" w14:textId="77777777" w:rsidR="00F34CBC" w:rsidRDefault="00F34CBC">
      <w:r>
        <w:separator/>
      </w:r>
    </w:p>
  </w:endnote>
  <w:endnote w:type="continuationSeparator" w:id="0">
    <w:p w14:paraId="7554EB7A" w14:textId="77777777" w:rsidR="00F34CBC" w:rsidRDefault="00F3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iberation Serif">
    <w:altName w:val="ＭＳ Ｐ明朝"/>
    <w:charset w:val="80"/>
    <w:family w:val="roman"/>
    <w:pitch w:val="variable"/>
  </w:font>
  <w:font w:name="WenQuanYi Zen Hei">
    <w:altName w:val="Times New Roman"/>
    <w:charset w:val="80"/>
    <w:family w:val="auto"/>
    <w:pitch w:val="variable"/>
  </w:font>
  <w:font w:name="Lohit Devanagari">
    <w:charset w:val="80"/>
    <w:family w:val="auto"/>
    <w:pitch w:val="variable"/>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A1E5C" w14:textId="77777777" w:rsidR="00F34CBC" w:rsidRDefault="00F34CBC">
    <w:pPr>
      <w:pStyle w:val="Footer"/>
      <w:tabs>
        <w:tab w:val="right" w:pos="7643"/>
        <w:tab w:val="left" w:pos="7797"/>
      </w:tabs>
    </w:pPr>
    <w:r>
      <w:tab/>
      <w:t xml:space="preserve">Side </w:t>
    </w:r>
    <w:r>
      <w:rPr>
        <w:rStyle w:val="PageNumber"/>
      </w:rPr>
      <w:fldChar w:fldCharType="begin"/>
    </w:r>
    <w:r>
      <w:rPr>
        <w:rStyle w:val="PageNumber"/>
      </w:rPr>
      <w:instrText xml:space="preserve"> PAGE </w:instrText>
    </w:r>
    <w:r>
      <w:rPr>
        <w:rStyle w:val="PageNumber"/>
      </w:rPr>
      <w:fldChar w:fldCharType="separate"/>
    </w:r>
    <w:r w:rsidR="00505348">
      <w:rPr>
        <w:rStyle w:val="PageNumber"/>
        <w:noProof/>
      </w:rPr>
      <w:t>4</w:t>
    </w:r>
    <w:r>
      <w:rPr>
        <w:rStyle w:val="PageNumber"/>
      </w:rPr>
      <w:fldChar w:fldCharType="end"/>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67"/>
      <w:gridCol w:w="957"/>
      <w:gridCol w:w="7362"/>
    </w:tblGrid>
    <w:tr w:rsidR="00F34CBC" w14:paraId="284318D7" w14:textId="77777777" w:rsidTr="00FA1542">
      <w:tc>
        <w:tcPr>
          <w:tcW w:w="967" w:type="dxa"/>
          <w:shd w:val="clear" w:color="auto" w:fill="D9D9D9" w:themeFill="background1" w:themeFillShade="D9"/>
        </w:tcPr>
        <w:p w14:paraId="0D9228CA" w14:textId="77777777" w:rsidR="00F34CBC" w:rsidRDefault="00F34CBC" w:rsidP="008E2AB4">
          <w:pPr>
            <w:pStyle w:val="FootnoteText"/>
            <w:spacing w:before="0"/>
          </w:pPr>
          <w:r>
            <w:t>Version</w:t>
          </w:r>
        </w:p>
      </w:tc>
      <w:tc>
        <w:tcPr>
          <w:tcW w:w="957" w:type="dxa"/>
          <w:shd w:val="clear" w:color="auto" w:fill="D9D9D9" w:themeFill="background1" w:themeFillShade="D9"/>
        </w:tcPr>
        <w:p w14:paraId="3B3377CB" w14:textId="77777777" w:rsidR="00F34CBC" w:rsidRDefault="00F34CBC" w:rsidP="008E2AB4">
          <w:pPr>
            <w:pStyle w:val="FootnoteText"/>
            <w:spacing w:before="0"/>
          </w:pPr>
          <w:r>
            <w:t>Ansvarlig</w:t>
          </w:r>
        </w:p>
      </w:tc>
      <w:tc>
        <w:tcPr>
          <w:tcW w:w="7362" w:type="dxa"/>
          <w:shd w:val="clear" w:color="auto" w:fill="D9D9D9" w:themeFill="background1" w:themeFillShade="D9"/>
        </w:tcPr>
        <w:p w14:paraId="4087793E" w14:textId="77777777" w:rsidR="00F34CBC" w:rsidRDefault="00F34CBC" w:rsidP="008E2AB4">
          <w:pPr>
            <w:pStyle w:val="FootnoteText"/>
            <w:spacing w:before="0"/>
          </w:pPr>
          <w:r>
            <w:t>Kommentar</w:t>
          </w:r>
        </w:p>
      </w:tc>
    </w:tr>
    <w:tr w:rsidR="00F34CBC" w14:paraId="620A8B0A" w14:textId="77777777" w:rsidTr="00FA1542">
      <w:tc>
        <w:tcPr>
          <w:tcW w:w="967" w:type="dxa"/>
        </w:tcPr>
        <w:p w14:paraId="311CB75D" w14:textId="26B210CA" w:rsidR="00F34CBC" w:rsidRDefault="00F34CBC" w:rsidP="008E2AB4">
          <w:pPr>
            <w:pStyle w:val="FootnoteText"/>
            <w:spacing w:before="0"/>
          </w:pPr>
          <w:r>
            <w:t>1.0</w:t>
          </w:r>
        </w:p>
      </w:tc>
      <w:tc>
        <w:tcPr>
          <w:tcW w:w="957" w:type="dxa"/>
        </w:tcPr>
        <w:p w14:paraId="35B33AA9" w14:textId="77777777" w:rsidR="00F34CBC" w:rsidRDefault="00F34CBC" w:rsidP="008E2AB4">
          <w:pPr>
            <w:pStyle w:val="FootnoteText"/>
            <w:spacing w:before="0"/>
          </w:pPr>
          <w:r>
            <w:t>CHE</w:t>
          </w:r>
        </w:p>
      </w:tc>
      <w:tc>
        <w:tcPr>
          <w:tcW w:w="7362" w:type="dxa"/>
        </w:tcPr>
        <w:p w14:paraId="37DE30FF" w14:textId="183ADC1E" w:rsidR="00F34CBC" w:rsidRDefault="00F34CBC" w:rsidP="00411B14">
          <w:pPr>
            <w:pStyle w:val="FootnoteText"/>
            <w:spacing w:before="0"/>
          </w:pPr>
          <w:r>
            <w:t>Internt kvalitetssikret v/CHG</w:t>
          </w:r>
        </w:p>
      </w:tc>
    </w:tr>
    <w:tr w:rsidR="00F34CBC" w14:paraId="4144F599" w14:textId="77777777" w:rsidTr="00FA1542">
      <w:tc>
        <w:tcPr>
          <w:tcW w:w="967" w:type="dxa"/>
        </w:tcPr>
        <w:p w14:paraId="14C33578" w14:textId="0D8ED384" w:rsidR="00F34CBC" w:rsidRDefault="00F34CBC" w:rsidP="008E2AB4">
          <w:pPr>
            <w:pStyle w:val="FootnoteText"/>
            <w:spacing w:before="0"/>
          </w:pPr>
          <w:r>
            <w:t>1.1</w:t>
          </w:r>
        </w:p>
      </w:tc>
      <w:tc>
        <w:tcPr>
          <w:tcW w:w="957" w:type="dxa"/>
        </w:tcPr>
        <w:p w14:paraId="1FE6ECED" w14:textId="3B5515C4" w:rsidR="00F34CBC" w:rsidRDefault="00F34CBC" w:rsidP="008E2AB4">
          <w:pPr>
            <w:pStyle w:val="FootnoteText"/>
            <w:spacing w:before="0"/>
          </w:pPr>
          <w:r>
            <w:t>CHG</w:t>
          </w:r>
        </w:p>
      </w:tc>
      <w:tc>
        <w:tcPr>
          <w:tcW w:w="7362" w:type="dxa"/>
        </w:tcPr>
        <w:p w14:paraId="791BF9A4" w14:textId="30C230BE" w:rsidR="00F34CBC" w:rsidRDefault="00F34CBC" w:rsidP="00411B14">
          <w:pPr>
            <w:pStyle w:val="FootnoteText"/>
            <w:spacing w:before="0"/>
          </w:pPr>
          <w:r>
            <w:t xml:space="preserve">Udvidet med </w:t>
          </w:r>
          <w:proofErr w:type="spellStart"/>
          <w:r>
            <w:t>reset</w:t>
          </w:r>
          <w:proofErr w:type="spellEnd"/>
          <w:r>
            <w:t xml:space="preserve"> funktionalitet</w:t>
          </w:r>
        </w:p>
      </w:tc>
    </w:tr>
    <w:tr w:rsidR="00F34CBC" w14:paraId="184A7AC3" w14:textId="77777777" w:rsidTr="00FA1542">
      <w:tc>
        <w:tcPr>
          <w:tcW w:w="967" w:type="dxa"/>
        </w:tcPr>
        <w:p w14:paraId="272D8141" w14:textId="7C543EFD" w:rsidR="00F34CBC" w:rsidRDefault="00F34CBC" w:rsidP="008E2AB4">
          <w:pPr>
            <w:pStyle w:val="FootnoteText"/>
            <w:spacing w:before="0"/>
          </w:pPr>
          <w:r>
            <w:t>1.2</w:t>
          </w:r>
        </w:p>
      </w:tc>
      <w:tc>
        <w:tcPr>
          <w:tcW w:w="957" w:type="dxa"/>
        </w:tcPr>
        <w:p w14:paraId="17C46791" w14:textId="470159EF" w:rsidR="00F34CBC" w:rsidRDefault="00F34CBC" w:rsidP="008E2AB4">
          <w:pPr>
            <w:pStyle w:val="FootnoteText"/>
            <w:spacing w:before="0"/>
          </w:pPr>
          <w:r>
            <w:t>CHG</w:t>
          </w:r>
        </w:p>
      </w:tc>
      <w:tc>
        <w:tcPr>
          <w:tcW w:w="7362" w:type="dxa"/>
        </w:tcPr>
        <w:p w14:paraId="64C5EE0E" w14:textId="3ABBC20A" w:rsidR="00F34CBC" w:rsidRDefault="00F34CBC" w:rsidP="00411B14">
          <w:pPr>
            <w:pStyle w:val="FootnoteText"/>
            <w:spacing w:before="0"/>
          </w:pPr>
          <w:r>
            <w:t>Udvidet med funktionalitet til valg af services</w:t>
          </w:r>
        </w:p>
      </w:tc>
    </w:tr>
  </w:tbl>
  <w:p w14:paraId="4984E7C2" w14:textId="5AF66CE0" w:rsidR="00F34CBC" w:rsidRDefault="00F34CBC">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50534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B02AB" w14:textId="77777777" w:rsidR="00F34CBC" w:rsidRDefault="00F34CBC">
      <w:r>
        <w:separator/>
      </w:r>
    </w:p>
  </w:footnote>
  <w:footnote w:type="continuationSeparator" w:id="0">
    <w:p w14:paraId="1BBC5743" w14:textId="77777777" w:rsidR="00F34CBC" w:rsidRDefault="00F34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46D5" w14:textId="4EC2ABBF" w:rsidR="00F34CBC" w:rsidRDefault="00F34CBC">
    <w:pPr>
      <w:pStyle w:val="Header"/>
    </w:pPr>
    <w:r>
      <w:rPr>
        <w:noProof/>
        <w:lang w:val="en-US" w:eastAsia="en-US"/>
      </w:rPr>
      <w:drawing>
        <wp:anchor distT="0" distB="0" distL="0" distR="0" simplePos="0" relativeHeight="251659264" behindDoc="0" locked="0" layoutInCell="1" allowOverlap="1" wp14:anchorId="1D4394EE" wp14:editId="44B5406F">
          <wp:simplePos x="0" y="0"/>
          <wp:positionH relativeFrom="column">
            <wp:posOffset>-97155</wp:posOffset>
          </wp:positionH>
          <wp:positionV relativeFrom="paragraph">
            <wp:posOffset>-57785</wp:posOffset>
          </wp:positionV>
          <wp:extent cx="1377950" cy="658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377950" cy="6584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E8A426"/>
    <w:lvl w:ilvl="0">
      <w:start w:val="1"/>
      <w:numFmt w:val="decimal"/>
      <w:lvlText w:val="%1."/>
      <w:lvlJc w:val="left"/>
      <w:pPr>
        <w:tabs>
          <w:tab w:val="num" w:pos="1492"/>
        </w:tabs>
        <w:ind w:left="1492" w:hanging="360"/>
      </w:pPr>
    </w:lvl>
  </w:abstractNum>
  <w:abstractNum w:abstractNumId="2">
    <w:nsid w:val="FFFFFF7D"/>
    <w:multiLevelType w:val="singleLevel"/>
    <w:tmpl w:val="C6900D2E"/>
    <w:lvl w:ilvl="0">
      <w:start w:val="1"/>
      <w:numFmt w:val="decimal"/>
      <w:lvlText w:val="%1."/>
      <w:lvlJc w:val="left"/>
      <w:pPr>
        <w:tabs>
          <w:tab w:val="num" w:pos="1209"/>
        </w:tabs>
        <w:ind w:left="1209" w:hanging="360"/>
      </w:pPr>
    </w:lvl>
  </w:abstractNum>
  <w:abstractNum w:abstractNumId="3">
    <w:nsid w:val="FFFFFF7E"/>
    <w:multiLevelType w:val="singleLevel"/>
    <w:tmpl w:val="D3AE730A"/>
    <w:lvl w:ilvl="0">
      <w:start w:val="1"/>
      <w:numFmt w:val="decimal"/>
      <w:lvlText w:val="%1."/>
      <w:lvlJc w:val="left"/>
      <w:pPr>
        <w:tabs>
          <w:tab w:val="num" w:pos="926"/>
        </w:tabs>
        <w:ind w:left="926" w:hanging="360"/>
      </w:pPr>
    </w:lvl>
  </w:abstractNum>
  <w:abstractNum w:abstractNumId="4">
    <w:nsid w:val="FFFFFF7F"/>
    <w:multiLevelType w:val="singleLevel"/>
    <w:tmpl w:val="6A34C240"/>
    <w:lvl w:ilvl="0">
      <w:start w:val="1"/>
      <w:numFmt w:val="decimal"/>
      <w:lvlText w:val="%1."/>
      <w:lvlJc w:val="left"/>
      <w:pPr>
        <w:tabs>
          <w:tab w:val="num" w:pos="643"/>
        </w:tabs>
        <w:ind w:left="643" w:hanging="360"/>
      </w:pPr>
    </w:lvl>
  </w:abstractNum>
  <w:abstractNum w:abstractNumId="5">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DE23BAA"/>
    <w:lvl w:ilvl="0">
      <w:start w:val="1"/>
      <w:numFmt w:val="decimal"/>
      <w:lvlText w:val="%1."/>
      <w:lvlJc w:val="left"/>
      <w:pPr>
        <w:tabs>
          <w:tab w:val="num" w:pos="360"/>
        </w:tabs>
        <w:ind w:left="360" w:hanging="360"/>
      </w:pPr>
    </w:lvl>
  </w:abstractNum>
  <w:abstractNum w:abstractNumId="1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694DD1"/>
    <w:multiLevelType w:val="multilevel"/>
    <w:tmpl w:val="3D540B5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76"/>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944"/>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561F"/>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AC1"/>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7123"/>
    <w:rsid w:val="003A7292"/>
    <w:rsid w:val="003A79A5"/>
    <w:rsid w:val="003B112D"/>
    <w:rsid w:val="003B1250"/>
    <w:rsid w:val="003B1DB9"/>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0F5D"/>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9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348"/>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B92"/>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876"/>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56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95C88"/>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10C"/>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6968"/>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A09"/>
    <w:rsid w:val="00D70FE1"/>
    <w:rsid w:val="00D71506"/>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56FD"/>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4CB5"/>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344"/>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4CBC"/>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138"/>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149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Strong" w:uiPriority="22" w:qFormat="1"/>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Strong" w:uiPriority="22" w:qFormat="1"/>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vn.softwareborsen.dk/dump-restore-client/"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52FCB-C20C-BD42-87D0-6FFF9CF4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1882</Words>
  <Characters>10733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12590</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Christian Gasser</cp:lastModifiedBy>
  <cp:revision>13</cp:revision>
  <cp:lastPrinted>2017-03-01T16:08:00Z</cp:lastPrinted>
  <dcterms:created xsi:type="dcterms:W3CDTF">2017-03-01T15:32:00Z</dcterms:created>
  <dcterms:modified xsi:type="dcterms:W3CDTF">2017-03-02T16:10:00Z</dcterms:modified>
</cp:coreProperties>
</file>