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40D04" w:rsidP="00E40D04" w:rsidRDefault="00E40D04" w14:paraId="3561D254" w14:textId="77777777">
      <w:r>
        <w:rPr>
          <w:noProof/>
        </w:rPr>
        <w:drawing>
          <wp:anchor distT="0" distB="0" distL="114300" distR="114300" simplePos="0" relativeHeight="251659264" behindDoc="1" locked="0" layoutInCell="1" allowOverlap="1" wp14:anchorId="3C473A72" wp14:editId="07777777">
            <wp:simplePos x="0" y="0"/>
            <wp:positionH relativeFrom="column">
              <wp:posOffset>-43180</wp:posOffset>
            </wp:positionH>
            <wp:positionV relativeFrom="paragraph">
              <wp:posOffset>-117475</wp:posOffset>
            </wp:positionV>
            <wp:extent cx="2437130" cy="683895"/>
            <wp:effectExtent l="0" t="0" r="1270" b="1905"/>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7130" cy="6838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0D04" w:rsidP="00E40D04" w:rsidRDefault="00E40D04" w14:paraId="408476B7" w14:textId="77777777">
      <w:pPr>
        <w:jc w:val="right"/>
      </w:pPr>
      <w:r>
        <w:t>15. marts. 2022</w:t>
      </w:r>
    </w:p>
    <w:p w:rsidR="00E40D04" w:rsidP="00E40D04" w:rsidRDefault="00E40D04" w14:paraId="4CB96B88" w14:textId="77777777">
      <w:pPr>
        <w:jc w:val="right"/>
      </w:pPr>
      <w:r>
        <w:t>version 2.0</w:t>
      </w:r>
    </w:p>
    <w:p w:rsidR="00E40D04" w:rsidP="00E40D04" w:rsidRDefault="00E40D04" w14:paraId="672A6659" w14:textId="77777777">
      <w:pPr>
        <w:jc w:val="left"/>
      </w:pPr>
    </w:p>
    <w:p w:rsidR="00E40D04" w:rsidP="00E40D04" w:rsidRDefault="00E40D04" w14:paraId="0A37501D" w14:textId="77777777">
      <w:pPr>
        <w:tabs>
          <w:tab w:val="left" w:pos="7540"/>
        </w:tabs>
        <w:jc w:val="left"/>
        <w:rPr>
          <w:b/>
          <w:sz w:val="40"/>
          <w:szCs w:val="40"/>
        </w:rPr>
      </w:pPr>
      <w:r>
        <w:rPr>
          <w:b/>
          <w:sz w:val="40"/>
          <w:szCs w:val="40"/>
        </w:rPr>
        <w:tab/>
      </w:r>
    </w:p>
    <w:p w:rsidR="00E40D04" w:rsidP="00E40D04" w:rsidRDefault="00E40D04" w14:paraId="5DAB6C7B" w14:textId="77777777">
      <w:pPr>
        <w:jc w:val="center"/>
        <w:rPr>
          <w:b/>
          <w:sz w:val="28"/>
          <w:szCs w:val="28"/>
        </w:rPr>
      </w:pPr>
    </w:p>
    <w:p w:rsidR="00E40D04" w:rsidP="00E40D04" w:rsidRDefault="00E40D04" w14:paraId="02EB378F" w14:textId="77777777">
      <w:pPr>
        <w:jc w:val="center"/>
        <w:rPr>
          <w:b/>
          <w:sz w:val="28"/>
          <w:szCs w:val="28"/>
        </w:rPr>
      </w:pPr>
    </w:p>
    <w:p w:rsidR="00E40D04" w:rsidP="00E40D04" w:rsidRDefault="00E40D04" w14:paraId="6A05A809" w14:textId="77777777">
      <w:pPr>
        <w:jc w:val="center"/>
        <w:rPr>
          <w:b/>
          <w:sz w:val="28"/>
          <w:szCs w:val="28"/>
        </w:rPr>
      </w:pPr>
    </w:p>
    <w:p w:rsidR="00E40D04" w:rsidP="00E40D04" w:rsidRDefault="00E40D04" w14:paraId="5A39BBE3" w14:textId="77777777">
      <w:pPr>
        <w:jc w:val="center"/>
        <w:rPr>
          <w:b/>
          <w:sz w:val="28"/>
          <w:szCs w:val="28"/>
        </w:rPr>
      </w:pPr>
    </w:p>
    <w:p w:rsidR="00E40D04" w:rsidP="00E40D04" w:rsidRDefault="00E40D04" w14:paraId="41C8F396" w14:textId="77777777">
      <w:pPr>
        <w:jc w:val="center"/>
        <w:rPr>
          <w:b/>
          <w:sz w:val="28"/>
          <w:szCs w:val="28"/>
        </w:rPr>
      </w:pPr>
    </w:p>
    <w:p w:rsidR="00E40D04" w:rsidP="00E40D04" w:rsidRDefault="00E40D04" w14:paraId="72A3D3EC" w14:textId="77777777">
      <w:pPr>
        <w:jc w:val="center"/>
        <w:rPr>
          <w:b/>
          <w:sz w:val="28"/>
          <w:szCs w:val="28"/>
        </w:rPr>
      </w:pPr>
    </w:p>
    <w:p w:rsidR="00E40D04" w:rsidP="00E40D04" w:rsidRDefault="00E40D04" w14:paraId="0D0B940D" w14:textId="77777777">
      <w:pPr>
        <w:jc w:val="center"/>
        <w:rPr>
          <w:b/>
          <w:sz w:val="28"/>
          <w:szCs w:val="28"/>
        </w:rPr>
      </w:pPr>
    </w:p>
    <w:p w:rsidR="00E40D04" w:rsidP="00E40D04" w:rsidRDefault="00E40D04" w14:paraId="0E27B00A" w14:textId="77777777">
      <w:pPr>
        <w:jc w:val="center"/>
        <w:rPr>
          <w:b/>
          <w:sz w:val="28"/>
          <w:szCs w:val="28"/>
        </w:rPr>
      </w:pPr>
    </w:p>
    <w:p w:rsidRPr="00C7681D" w:rsidR="00E40D04" w:rsidP="00E40D04" w:rsidRDefault="00E40D04" w14:paraId="316C179D" w14:textId="77777777">
      <w:pPr>
        <w:jc w:val="center"/>
        <w:rPr>
          <w:b/>
          <w:sz w:val="28"/>
          <w:szCs w:val="28"/>
        </w:rPr>
      </w:pPr>
      <w:r>
        <w:rPr>
          <w:b/>
          <w:sz w:val="28"/>
          <w:szCs w:val="28"/>
        </w:rPr>
        <w:t>Lægemiddel</w:t>
      </w:r>
      <w:r w:rsidRPr="00C7681D">
        <w:rPr>
          <w:b/>
          <w:sz w:val="28"/>
          <w:szCs w:val="28"/>
        </w:rPr>
        <w:t>styrelsens</w:t>
      </w:r>
    </w:p>
    <w:p w:rsidRPr="00C7681D" w:rsidR="00E40D04" w:rsidP="74220A13" w:rsidRDefault="559030AF" w14:paraId="56A34803" w14:textId="1D1E5DE8">
      <w:pPr>
        <w:jc w:val="center"/>
        <w:rPr>
          <w:b/>
          <w:bCs/>
          <w:sz w:val="28"/>
          <w:szCs w:val="28"/>
        </w:rPr>
      </w:pPr>
      <w:r w:rsidRPr="74220A13">
        <w:rPr>
          <w:b/>
          <w:bCs/>
          <w:sz w:val="28"/>
          <w:szCs w:val="28"/>
        </w:rPr>
        <w:t>Bivirkningsindberetning Web Service (</w:t>
      </w:r>
      <w:proofErr w:type="spellStart"/>
      <w:r w:rsidRPr="74220A13">
        <w:rPr>
          <w:b/>
          <w:bCs/>
          <w:sz w:val="28"/>
          <w:szCs w:val="28"/>
        </w:rPr>
        <w:t>BivWS</w:t>
      </w:r>
      <w:proofErr w:type="spellEnd"/>
      <w:r w:rsidRPr="74220A13">
        <w:rPr>
          <w:b/>
          <w:bCs/>
          <w:sz w:val="28"/>
          <w:szCs w:val="28"/>
        </w:rPr>
        <w:t>)</w:t>
      </w:r>
    </w:p>
    <w:p w:rsidR="00E40D04" w:rsidP="00E40D04" w:rsidRDefault="00E40D04" w14:paraId="60061E4C" w14:textId="77777777">
      <w:pPr>
        <w:jc w:val="center"/>
      </w:pPr>
    </w:p>
    <w:p w:rsidR="00E40D04" w:rsidP="00E40D04" w:rsidRDefault="00E40D04" w14:paraId="44EAFD9C" w14:textId="77777777">
      <w:pPr>
        <w:jc w:val="center"/>
        <w:rPr>
          <w:i/>
          <w:sz w:val="32"/>
          <w:szCs w:val="32"/>
        </w:rPr>
      </w:pPr>
    </w:p>
    <w:p w:rsidRPr="00102D28" w:rsidR="00E40D04" w:rsidP="3C253350" w:rsidRDefault="3C253350" w14:paraId="4B94D5A5" w14:textId="3914C185">
      <w:pPr>
        <w:jc w:val="center"/>
        <w:rPr>
          <w:b/>
          <w:bCs/>
          <w:sz w:val="32"/>
          <w:szCs w:val="32"/>
        </w:rPr>
      </w:pPr>
      <w:r w:rsidRPr="6301C0AA" w:rsidR="3C253350">
        <w:rPr>
          <w:b w:val="1"/>
          <w:bCs w:val="1"/>
          <w:sz w:val="32"/>
          <w:szCs w:val="32"/>
        </w:rPr>
        <w:t>TEKNISK DOKUMENTATION</w:t>
      </w:r>
    </w:p>
    <w:p w:rsidR="6301C0AA" w:rsidP="6301C0AA" w:rsidRDefault="6301C0AA" w14:paraId="742BD094" w14:textId="4C0B9F11">
      <w:pPr>
        <w:pStyle w:val="Normal"/>
        <w:jc w:val="center"/>
        <w:rPr>
          <w:rFonts w:ascii="Arial" w:hAnsi="Arial" w:eastAsia="Times New Roman" w:cs="Times New Roman"/>
          <w:b w:val="1"/>
          <w:bCs w:val="1"/>
          <w:sz w:val="32"/>
          <w:szCs w:val="32"/>
        </w:rPr>
      </w:pPr>
    </w:p>
    <w:p w:rsidR="6301C0AA" w:rsidP="6301C0AA" w:rsidRDefault="6301C0AA" w14:paraId="14E4AA80" w14:textId="73C35800">
      <w:pPr>
        <w:pStyle w:val="Normal"/>
        <w:jc w:val="center"/>
        <w:rPr>
          <w:rFonts w:ascii="Arial" w:hAnsi="Arial" w:eastAsia="Times New Roman" w:cs="Times New Roman"/>
          <w:b w:val="1"/>
          <w:bCs w:val="1"/>
          <w:sz w:val="32"/>
          <w:szCs w:val="32"/>
        </w:rPr>
      </w:pPr>
    </w:p>
    <w:p w:rsidR="63800876" w:rsidP="6301C0AA" w:rsidRDefault="63800876" w14:paraId="726954E3" w14:textId="6C92E85F">
      <w:pPr>
        <w:pStyle w:val="Normal"/>
        <w:jc w:val="center"/>
        <w:rPr>
          <w:rFonts w:ascii="Arial" w:hAnsi="Arial" w:eastAsia="Times New Roman" w:cs="Times New Roman"/>
          <w:b w:val="1"/>
          <w:bCs w:val="1"/>
          <w:sz w:val="56"/>
          <w:szCs w:val="56"/>
        </w:rPr>
      </w:pPr>
      <w:r w:rsidRPr="6301C0AA" w:rsidR="63800876">
        <w:rPr>
          <w:rFonts w:ascii="Arial" w:hAnsi="Arial" w:eastAsia="Times New Roman" w:cs="Times New Roman"/>
          <w:b w:val="1"/>
          <w:bCs w:val="1"/>
          <w:sz w:val="56"/>
          <w:szCs w:val="56"/>
        </w:rPr>
        <w:t>UDKAST</w:t>
      </w:r>
    </w:p>
    <w:p w:rsidR="00E40D04" w:rsidP="00E40D04" w:rsidRDefault="00E40D04" w14:paraId="3DEEC669" w14:textId="77777777">
      <w:pPr>
        <w:rPr>
          <w:i/>
          <w:sz w:val="32"/>
          <w:szCs w:val="32"/>
        </w:rPr>
      </w:pPr>
    </w:p>
    <w:p w:rsidR="00E40D04" w:rsidP="00E40D04" w:rsidRDefault="00E40D04" w14:paraId="3656B9AB" w14:textId="77777777">
      <w:pPr>
        <w:rPr>
          <w:i/>
          <w:sz w:val="32"/>
          <w:szCs w:val="32"/>
        </w:rPr>
      </w:pPr>
    </w:p>
    <w:p w:rsidR="00E40D04" w:rsidP="00E40D04" w:rsidRDefault="00E40D04" w14:paraId="45FB0818" w14:textId="77777777">
      <w:pPr>
        <w:rPr>
          <w:i/>
          <w:sz w:val="32"/>
          <w:szCs w:val="32"/>
        </w:rPr>
      </w:pPr>
    </w:p>
    <w:p w:rsidR="00E40D04" w:rsidP="00E40D04" w:rsidRDefault="00E40D04" w14:paraId="049F31CB" w14:textId="77777777">
      <w:pPr>
        <w:rPr>
          <w:i/>
          <w:sz w:val="32"/>
          <w:szCs w:val="32"/>
        </w:rPr>
      </w:pPr>
    </w:p>
    <w:p w:rsidR="00E40D04" w:rsidP="00E40D04" w:rsidRDefault="00E40D04" w14:paraId="53128261" w14:textId="77777777">
      <w:pPr>
        <w:rPr>
          <w:i/>
          <w:sz w:val="32"/>
          <w:szCs w:val="32"/>
        </w:rPr>
      </w:pPr>
    </w:p>
    <w:p w:rsidR="00E40D04" w:rsidP="00E40D04" w:rsidRDefault="00E40D04" w14:paraId="62486C05" w14:textId="77777777">
      <w:pPr>
        <w:rPr>
          <w:i/>
          <w:sz w:val="32"/>
          <w:szCs w:val="32"/>
        </w:rPr>
      </w:pPr>
    </w:p>
    <w:p w:rsidR="00E40D04" w:rsidP="00E40D04" w:rsidRDefault="00E40D04" w14:paraId="4101652C" w14:textId="77777777">
      <w:pPr>
        <w:rPr>
          <w:i/>
          <w:sz w:val="32"/>
          <w:szCs w:val="32"/>
        </w:rPr>
      </w:pPr>
    </w:p>
    <w:p w:rsidR="00E40D04" w:rsidP="00E40D04" w:rsidRDefault="00E40D04" w14:paraId="4B99056E" w14:textId="77777777">
      <w:pPr>
        <w:rPr>
          <w:i/>
          <w:sz w:val="32"/>
          <w:szCs w:val="32"/>
        </w:rPr>
      </w:pPr>
    </w:p>
    <w:p w:rsidR="00E40D04" w:rsidP="00E40D04" w:rsidRDefault="00E40D04" w14:paraId="1299C43A" w14:textId="77777777">
      <w:pPr>
        <w:rPr>
          <w:i/>
          <w:sz w:val="32"/>
          <w:szCs w:val="32"/>
        </w:rPr>
      </w:pPr>
    </w:p>
    <w:p w:rsidR="00E40D04" w:rsidP="00E40D04" w:rsidRDefault="00E40D04" w14:paraId="4DDBEF00" w14:textId="77777777">
      <w:pPr>
        <w:rPr>
          <w:i/>
          <w:sz w:val="32"/>
          <w:szCs w:val="32"/>
        </w:rPr>
      </w:pPr>
    </w:p>
    <w:p w:rsidR="00E40D04" w:rsidP="00E40D04" w:rsidRDefault="00E40D04" w14:paraId="3461D779" w14:textId="77777777">
      <w:pPr>
        <w:rPr>
          <w:i/>
          <w:sz w:val="32"/>
          <w:szCs w:val="32"/>
        </w:rPr>
      </w:pPr>
    </w:p>
    <w:p w:rsidR="00E40D04" w:rsidP="00E40D04" w:rsidRDefault="00E40D04" w14:paraId="3CF2D8B6" w14:textId="77777777">
      <w:pPr>
        <w:rPr>
          <w:i/>
          <w:sz w:val="32"/>
          <w:szCs w:val="32"/>
        </w:rPr>
      </w:pPr>
    </w:p>
    <w:p w:rsidR="00E40D04" w:rsidP="00E40D04" w:rsidRDefault="00E40D04" w14:paraId="0FB78278" w14:textId="77777777">
      <w:pPr>
        <w:rPr>
          <w:i/>
          <w:sz w:val="32"/>
          <w:szCs w:val="32"/>
        </w:rPr>
      </w:pPr>
    </w:p>
    <w:p w:rsidR="00E40D04" w:rsidP="00E40D04" w:rsidRDefault="00E40D04" w14:paraId="1FC39945" w14:textId="77777777">
      <w:pPr>
        <w:rPr>
          <w:i/>
          <w:sz w:val="32"/>
          <w:szCs w:val="32"/>
        </w:rPr>
      </w:pPr>
    </w:p>
    <w:p w:rsidR="00E40D04" w:rsidP="00E40D04" w:rsidRDefault="00E40D04" w14:paraId="0562CB0E" w14:textId="77777777">
      <w:pPr>
        <w:rPr>
          <w:i/>
          <w:sz w:val="32"/>
          <w:szCs w:val="32"/>
        </w:rPr>
      </w:pPr>
    </w:p>
    <w:p w:rsidR="00E40D04" w:rsidP="00E40D04" w:rsidRDefault="00E40D04" w14:paraId="34CE0A41" w14:textId="77777777">
      <w:pPr>
        <w:rPr>
          <w:i/>
          <w:sz w:val="32"/>
          <w:szCs w:val="32"/>
        </w:rPr>
      </w:pPr>
    </w:p>
    <w:p w:rsidR="00E40D04" w:rsidP="00E40D04" w:rsidRDefault="00E40D04" w14:paraId="62EBF3C5" w14:textId="77777777">
      <w:pPr>
        <w:rPr>
          <w:i/>
          <w:sz w:val="32"/>
          <w:szCs w:val="32"/>
        </w:rPr>
      </w:pPr>
    </w:p>
    <w:p w:rsidR="00E40D04" w:rsidP="00E40D04" w:rsidRDefault="00E40D04" w14:paraId="6D98A12B" w14:textId="77777777">
      <w:pPr>
        <w:rPr>
          <w:i/>
          <w:sz w:val="32"/>
          <w:szCs w:val="32"/>
        </w:rPr>
      </w:pPr>
    </w:p>
    <w:tbl>
      <w:tblPr>
        <w:tblW w:w="8222" w:type="dxa"/>
        <w:tblInd w:w="70" w:type="dxa"/>
        <w:tblCellMar>
          <w:left w:w="70" w:type="dxa"/>
          <w:right w:w="70" w:type="dxa"/>
        </w:tblCellMar>
        <w:tblLook w:val="04A0" w:firstRow="1" w:lastRow="0" w:firstColumn="1" w:lastColumn="0" w:noHBand="0" w:noVBand="1"/>
      </w:tblPr>
      <w:tblGrid>
        <w:gridCol w:w="874"/>
        <w:gridCol w:w="1253"/>
        <w:gridCol w:w="6095"/>
      </w:tblGrid>
      <w:tr w:rsidRPr="005379A2" w:rsidR="00E40D04" w:rsidTr="007175BF" w14:paraId="1424B7E6" w14:textId="77777777">
        <w:trPr>
          <w:trHeight w:val="315"/>
        </w:trPr>
        <w:tc>
          <w:tcPr>
            <w:tcW w:w="8222" w:type="dxa"/>
            <w:gridSpan w:val="3"/>
            <w:tcBorders>
              <w:top w:val="nil"/>
              <w:left w:val="nil"/>
              <w:bottom w:val="nil"/>
              <w:right w:val="nil"/>
            </w:tcBorders>
            <w:shd w:val="clear" w:color="auto" w:fill="auto"/>
            <w:noWrap/>
            <w:vAlign w:val="bottom"/>
            <w:hideMark/>
          </w:tcPr>
          <w:p w:rsidRPr="00A17BAF" w:rsidR="00E40D04" w:rsidP="007175BF" w:rsidRDefault="00E40D04" w14:paraId="053A7713" w14:textId="77777777">
            <w:pPr>
              <w:pStyle w:val="Overskrift1"/>
              <w:spacing w:before="0" w:after="0"/>
            </w:pPr>
            <w:bookmarkStart w:name="_Toc98853557" w:id="0"/>
            <w:r w:rsidRPr="00A17BAF">
              <w:t>Dokument historik</w:t>
            </w:r>
            <w:bookmarkEnd w:id="0"/>
          </w:p>
          <w:p w:rsidRPr="005379A2" w:rsidR="00E40D04" w:rsidP="007175BF" w:rsidRDefault="00E40D04" w14:paraId="2946DB82" w14:textId="77777777">
            <w:pPr>
              <w:spacing w:line="240" w:lineRule="auto"/>
              <w:jc w:val="left"/>
              <w:rPr>
                <w:rFonts w:cs="Arial"/>
                <w:b/>
                <w:bCs/>
                <w:color w:val="000000"/>
                <w:sz w:val="24"/>
                <w:szCs w:val="24"/>
              </w:rPr>
            </w:pPr>
          </w:p>
        </w:tc>
      </w:tr>
      <w:tr w:rsidRPr="005379A2" w:rsidR="00E40D04" w:rsidTr="007175BF" w14:paraId="04ECD05F" w14:textId="77777777">
        <w:trPr>
          <w:trHeight w:val="255"/>
        </w:trPr>
        <w:tc>
          <w:tcPr>
            <w:tcW w:w="874" w:type="dxa"/>
            <w:tcBorders>
              <w:top w:val="single" w:color="auto" w:sz="4" w:space="0"/>
              <w:left w:val="single" w:color="auto" w:sz="4" w:space="0"/>
              <w:bottom w:val="single" w:color="auto" w:sz="4" w:space="0"/>
              <w:right w:val="single" w:color="auto" w:sz="4" w:space="0"/>
            </w:tcBorders>
            <w:shd w:val="clear" w:color="000000" w:fill="C0C0C0"/>
            <w:hideMark/>
          </w:tcPr>
          <w:p w:rsidRPr="005379A2" w:rsidR="00E40D04" w:rsidP="007175BF" w:rsidRDefault="00E40D04" w14:paraId="6B814A1E" w14:textId="77777777">
            <w:pPr>
              <w:spacing w:line="240" w:lineRule="auto"/>
              <w:jc w:val="left"/>
              <w:rPr>
                <w:rFonts w:cs="Arial"/>
                <w:b/>
                <w:bCs/>
                <w:color w:val="000000"/>
                <w:sz w:val="20"/>
                <w:szCs w:val="20"/>
              </w:rPr>
            </w:pPr>
            <w:r w:rsidRPr="005379A2">
              <w:rPr>
                <w:rFonts w:cs="Arial"/>
                <w:b/>
                <w:bCs/>
                <w:color w:val="000000"/>
                <w:sz w:val="20"/>
                <w:szCs w:val="20"/>
              </w:rPr>
              <w:t>Version</w:t>
            </w:r>
          </w:p>
        </w:tc>
        <w:tc>
          <w:tcPr>
            <w:tcW w:w="1253" w:type="dxa"/>
            <w:tcBorders>
              <w:top w:val="single" w:color="auto" w:sz="4" w:space="0"/>
              <w:left w:val="nil"/>
              <w:bottom w:val="single" w:color="auto" w:sz="4" w:space="0"/>
              <w:right w:val="single" w:color="auto" w:sz="4" w:space="0"/>
            </w:tcBorders>
            <w:shd w:val="clear" w:color="000000" w:fill="C0C0C0"/>
            <w:hideMark/>
          </w:tcPr>
          <w:p w:rsidRPr="005379A2" w:rsidR="00E40D04" w:rsidP="007175BF" w:rsidRDefault="00E40D04" w14:paraId="31EDE7BF" w14:textId="77777777">
            <w:pPr>
              <w:spacing w:line="240" w:lineRule="auto"/>
              <w:jc w:val="left"/>
              <w:rPr>
                <w:rFonts w:cs="Arial"/>
                <w:b/>
                <w:bCs/>
                <w:color w:val="000000"/>
                <w:sz w:val="20"/>
                <w:szCs w:val="20"/>
              </w:rPr>
            </w:pPr>
            <w:r w:rsidRPr="005379A2">
              <w:rPr>
                <w:rFonts w:cs="Arial"/>
                <w:b/>
                <w:bCs/>
                <w:color w:val="000000"/>
                <w:sz w:val="20"/>
                <w:szCs w:val="20"/>
              </w:rPr>
              <w:t>Dat</w:t>
            </w:r>
            <w:r>
              <w:rPr>
                <w:rFonts w:cs="Arial"/>
                <w:b/>
                <w:bCs/>
                <w:color w:val="000000"/>
                <w:sz w:val="20"/>
                <w:szCs w:val="20"/>
              </w:rPr>
              <w:t>o</w:t>
            </w:r>
          </w:p>
        </w:tc>
        <w:tc>
          <w:tcPr>
            <w:tcW w:w="6095" w:type="dxa"/>
            <w:tcBorders>
              <w:top w:val="single" w:color="auto" w:sz="4" w:space="0"/>
              <w:left w:val="nil"/>
              <w:bottom w:val="single" w:color="auto" w:sz="4" w:space="0"/>
              <w:right w:val="single" w:color="auto" w:sz="4" w:space="0"/>
            </w:tcBorders>
            <w:shd w:val="clear" w:color="000000" w:fill="C0C0C0"/>
            <w:hideMark/>
          </w:tcPr>
          <w:p w:rsidRPr="005379A2" w:rsidR="00E40D04" w:rsidP="007175BF" w:rsidRDefault="00E40D04" w14:paraId="2DAADAC3" w14:textId="77777777">
            <w:pPr>
              <w:spacing w:line="240" w:lineRule="auto"/>
              <w:jc w:val="left"/>
              <w:rPr>
                <w:rFonts w:cs="Arial"/>
                <w:b/>
                <w:bCs/>
                <w:color w:val="000000"/>
                <w:sz w:val="20"/>
                <w:szCs w:val="20"/>
              </w:rPr>
            </w:pPr>
            <w:r>
              <w:rPr>
                <w:rFonts w:cs="Arial"/>
                <w:b/>
                <w:bCs/>
                <w:color w:val="000000"/>
                <w:sz w:val="20"/>
                <w:szCs w:val="20"/>
              </w:rPr>
              <w:t>Ændring</w:t>
            </w:r>
          </w:p>
        </w:tc>
      </w:tr>
      <w:tr w:rsidRPr="005379A2" w:rsidR="00E40D04" w:rsidTr="007175BF" w14:paraId="7BB182B8" w14:textId="77777777">
        <w:trPr>
          <w:trHeight w:val="255"/>
        </w:trPr>
        <w:tc>
          <w:tcPr>
            <w:tcW w:w="874" w:type="dxa"/>
            <w:tcBorders>
              <w:top w:val="nil"/>
              <w:left w:val="single" w:color="auto" w:sz="4" w:space="0"/>
              <w:bottom w:val="single" w:color="auto" w:sz="4" w:space="0"/>
              <w:right w:val="single" w:color="auto" w:sz="4" w:space="0"/>
            </w:tcBorders>
            <w:shd w:val="clear" w:color="auto" w:fill="auto"/>
            <w:hideMark/>
          </w:tcPr>
          <w:p w:rsidRPr="005379A2" w:rsidR="00E40D04" w:rsidP="007175BF" w:rsidRDefault="00E40D04" w14:paraId="4B3AA50C" w14:textId="77777777">
            <w:pPr>
              <w:spacing w:line="240" w:lineRule="auto"/>
              <w:jc w:val="left"/>
              <w:rPr>
                <w:rFonts w:cs="Arial"/>
                <w:color w:val="000000"/>
                <w:sz w:val="20"/>
                <w:szCs w:val="20"/>
              </w:rPr>
            </w:pPr>
            <w:r w:rsidRPr="005379A2">
              <w:rPr>
                <w:rFonts w:cs="Arial"/>
                <w:color w:val="000000"/>
                <w:sz w:val="20"/>
                <w:szCs w:val="20"/>
              </w:rPr>
              <w:t>1.0</w:t>
            </w:r>
          </w:p>
        </w:tc>
        <w:tc>
          <w:tcPr>
            <w:tcW w:w="1253" w:type="dxa"/>
            <w:tcBorders>
              <w:top w:val="nil"/>
              <w:left w:val="nil"/>
              <w:bottom w:val="single" w:color="auto" w:sz="4" w:space="0"/>
              <w:right w:val="single" w:color="auto" w:sz="4" w:space="0"/>
            </w:tcBorders>
            <w:shd w:val="clear" w:color="auto" w:fill="auto"/>
            <w:hideMark/>
          </w:tcPr>
          <w:p w:rsidRPr="005379A2" w:rsidR="00E40D04" w:rsidP="007175BF" w:rsidRDefault="00E40D04" w14:paraId="3E5FAB17" w14:textId="77777777">
            <w:pPr>
              <w:spacing w:line="240" w:lineRule="auto"/>
              <w:jc w:val="right"/>
              <w:rPr>
                <w:rFonts w:cs="Arial"/>
                <w:color w:val="000000"/>
                <w:sz w:val="20"/>
                <w:szCs w:val="20"/>
              </w:rPr>
            </w:pPr>
            <w:r w:rsidRPr="005379A2">
              <w:rPr>
                <w:rFonts w:cs="Arial"/>
                <w:color w:val="000000"/>
                <w:sz w:val="20"/>
                <w:szCs w:val="20"/>
              </w:rPr>
              <w:t>19-06-2014</w:t>
            </w:r>
          </w:p>
        </w:tc>
        <w:tc>
          <w:tcPr>
            <w:tcW w:w="6095" w:type="dxa"/>
            <w:tcBorders>
              <w:top w:val="nil"/>
              <w:left w:val="nil"/>
              <w:bottom w:val="single" w:color="auto" w:sz="4" w:space="0"/>
              <w:right w:val="single" w:color="auto" w:sz="4" w:space="0"/>
            </w:tcBorders>
            <w:shd w:val="clear" w:color="auto" w:fill="auto"/>
            <w:hideMark/>
          </w:tcPr>
          <w:p w:rsidRPr="005379A2" w:rsidR="00E40D04" w:rsidP="007175BF" w:rsidRDefault="00E40D04" w14:paraId="4E17F9AB" w14:textId="77777777">
            <w:pPr>
              <w:spacing w:line="240" w:lineRule="auto"/>
              <w:jc w:val="left"/>
              <w:rPr>
                <w:rFonts w:cs="Arial"/>
                <w:color w:val="000000"/>
                <w:sz w:val="20"/>
                <w:szCs w:val="20"/>
              </w:rPr>
            </w:pPr>
            <w:r w:rsidRPr="005379A2">
              <w:rPr>
                <w:rFonts w:cs="Arial"/>
                <w:color w:val="000000"/>
                <w:sz w:val="20"/>
                <w:szCs w:val="20"/>
              </w:rPr>
              <w:t>Final version</w:t>
            </w:r>
            <w:r>
              <w:rPr>
                <w:rFonts w:cs="Arial"/>
                <w:color w:val="000000"/>
                <w:sz w:val="20"/>
                <w:szCs w:val="20"/>
              </w:rPr>
              <w:t xml:space="preserve"> ifm. idriftsættelse</w:t>
            </w:r>
          </w:p>
        </w:tc>
      </w:tr>
      <w:tr w:rsidRPr="005379A2" w:rsidR="00E40D04" w:rsidTr="007175BF" w14:paraId="06473D1C" w14:textId="77777777">
        <w:trPr>
          <w:trHeight w:val="263"/>
        </w:trPr>
        <w:tc>
          <w:tcPr>
            <w:tcW w:w="874" w:type="dxa"/>
            <w:tcBorders>
              <w:top w:val="nil"/>
              <w:left w:val="single" w:color="auto" w:sz="4" w:space="0"/>
              <w:bottom w:val="single" w:color="auto" w:sz="4" w:space="0"/>
              <w:right w:val="single" w:color="auto" w:sz="4" w:space="0"/>
            </w:tcBorders>
            <w:shd w:val="clear" w:color="auto" w:fill="auto"/>
            <w:hideMark/>
          </w:tcPr>
          <w:p w:rsidRPr="005379A2" w:rsidR="00E40D04" w:rsidP="007175BF" w:rsidRDefault="00E40D04" w14:paraId="55D8B3B0" w14:textId="77777777">
            <w:pPr>
              <w:spacing w:line="240" w:lineRule="auto"/>
              <w:jc w:val="left"/>
              <w:rPr>
                <w:rFonts w:cs="Arial"/>
                <w:color w:val="000000"/>
                <w:sz w:val="20"/>
                <w:szCs w:val="20"/>
              </w:rPr>
            </w:pPr>
            <w:r w:rsidRPr="005379A2">
              <w:rPr>
                <w:rFonts w:cs="Arial"/>
                <w:color w:val="000000"/>
                <w:sz w:val="20"/>
                <w:szCs w:val="20"/>
              </w:rPr>
              <w:t>1.1</w:t>
            </w:r>
          </w:p>
        </w:tc>
        <w:tc>
          <w:tcPr>
            <w:tcW w:w="1253" w:type="dxa"/>
            <w:tcBorders>
              <w:top w:val="nil"/>
              <w:left w:val="nil"/>
              <w:bottom w:val="single" w:color="auto" w:sz="4" w:space="0"/>
              <w:right w:val="single" w:color="auto" w:sz="4" w:space="0"/>
            </w:tcBorders>
            <w:shd w:val="clear" w:color="auto" w:fill="auto"/>
            <w:hideMark/>
          </w:tcPr>
          <w:p w:rsidRPr="005379A2" w:rsidR="00E40D04" w:rsidP="007175BF" w:rsidRDefault="00E40D04" w14:paraId="2B7A3E24" w14:textId="77777777">
            <w:pPr>
              <w:spacing w:line="240" w:lineRule="auto"/>
              <w:jc w:val="right"/>
              <w:rPr>
                <w:rFonts w:cs="Arial"/>
                <w:color w:val="000000"/>
                <w:sz w:val="20"/>
                <w:szCs w:val="20"/>
              </w:rPr>
            </w:pPr>
            <w:r>
              <w:rPr>
                <w:rFonts w:cs="Arial"/>
                <w:color w:val="000000"/>
                <w:sz w:val="20"/>
                <w:szCs w:val="20"/>
              </w:rPr>
              <w:t>2</w:t>
            </w:r>
            <w:r w:rsidRPr="005379A2">
              <w:rPr>
                <w:rFonts w:cs="Arial"/>
                <w:color w:val="000000"/>
                <w:sz w:val="20"/>
                <w:szCs w:val="20"/>
              </w:rPr>
              <w:t>9-06-2015</w:t>
            </w:r>
          </w:p>
        </w:tc>
        <w:tc>
          <w:tcPr>
            <w:tcW w:w="6095" w:type="dxa"/>
            <w:tcBorders>
              <w:top w:val="nil"/>
              <w:left w:val="nil"/>
              <w:bottom w:val="single" w:color="auto" w:sz="4" w:space="0"/>
              <w:right w:val="single" w:color="auto" w:sz="4" w:space="0"/>
            </w:tcBorders>
            <w:shd w:val="clear" w:color="auto" w:fill="auto"/>
            <w:hideMark/>
          </w:tcPr>
          <w:p w:rsidRPr="005379A2" w:rsidR="00E40D04" w:rsidP="007175BF" w:rsidRDefault="00E40D04" w14:paraId="0C5F7999" w14:textId="77777777">
            <w:pPr>
              <w:spacing w:line="240" w:lineRule="auto"/>
              <w:jc w:val="left"/>
              <w:rPr>
                <w:rFonts w:cs="Arial"/>
                <w:color w:val="000000"/>
                <w:sz w:val="20"/>
                <w:szCs w:val="20"/>
              </w:rPr>
            </w:pPr>
            <w:r>
              <w:rPr>
                <w:rFonts w:cs="Arial"/>
                <w:color w:val="000000"/>
                <w:sz w:val="20"/>
                <w:szCs w:val="20"/>
              </w:rPr>
              <w:t>Opdateret version cirkuleret til samarbejdspartnere i høring.</w:t>
            </w:r>
          </w:p>
        </w:tc>
      </w:tr>
      <w:tr w:rsidRPr="005379A2" w:rsidR="00E40D04" w:rsidTr="007175BF" w14:paraId="1270C9C2" w14:textId="77777777">
        <w:trPr>
          <w:trHeight w:val="255"/>
        </w:trPr>
        <w:tc>
          <w:tcPr>
            <w:tcW w:w="874" w:type="dxa"/>
            <w:tcBorders>
              <w:top w:val="nil"/>
              <w:left w:val="single" w:color="auto" w:sz="4" w:space="0"/>
              <w:bottom w:val="single" w:color="auto" w:sz="4" w:space="0"/>
              <w:right w:val="single" w:color="auto" w:sz="4" w:space="0"/>
            </w:tcBorders>
            <w:shd w:val="clear" w:color="auto" w:fill="auto"/>
            <w:hideMark/>
          </w:tcPr>
          <w:p w:rsidRPr="005379A2" w:rsidR="00E40D04" w:rsidP="007175BF" w:rsidRDefault="00E40D04" w14:paraId="39D7D509" w14:textId="77777777">
            <w:pPr>
              <w:spacing w:line="240" w:lineRule="auto"/>
              <w:jc w:val="left"/>
              <w:rPr>
                <w:rFonts w:cs="Arial"/>
                <w:color w:val="000000"/>
                <w:sz w:val="20"/>
                <w:szCs w:val="20"/>
              </w:rPr>
            </w:pPr>
            <w:r w:rsidRPr="005379A2">
              <w:rPr>
                <w:rFonts w:cs="Arial"/>
                <w:color w:val="000000"/>
                <w:sz w:val="20"/>
                <w:szCs w:val="20"/>
              </w:rPr>
              <w:t>1.2</w:t>
            </w:r>
          </w:p>
        </w:tc>
        <w:tc>
          <w:tcPr>
            <w:tcW w:w="1253" w:type="dxa"/>
            <w:tcBorders>
              <w:top w:val="nil"/>
              <w:left w:val="nil"/>
              <w:bottom w:val="single" w:color="auto" w:sz="4" w:space="0"/>
              <w:right w:val="single" w:color="auto" w:sz="4" w:space="0"/>
            </w:tcBorders>
            <w:shd w:val="clear" w:color="auto" w:fill="auto"/>
            <w:hideMark/>
          </w:tcPr>
          <w:p w:rsidRPr="005379A2" w:rsidR="00E40D04" w:rsidP="007175BF" w:rsidRDefault="00E40D04" w14:paraId="42E9918D" w14:textId="77777777">
            <w:pPr>
              <w:spacing w:line="240" w:lineRule="auto"/>
              <w:jc w:val="right"/>
              <w:rPr>
                <w:rFonts w:cs="Arial"/>
                <w:color w:val="000000"/>
                <w:sz w:val="20"/>
                <w:szCs w:val="20"/>
              </w:rPr>
            </w:pPr>
            <w:r>
              <w:rPr>
                <w:rFonts w:cs="Arial"/>
                <w:color w:val="000000"/>
                <w:sz w:val="20"/>
                <w:szCs w:val="20"/>
              </w:rPr>
              <w:t>29</w:t>
            </w:r>
            <w:r w:rsidRPr="005379A2">
              <w:rPr>
                <w:rFonts w:cs="Arial"/>
                <w:color w:val="000000"/>
                <w:sz w:val="20"/>
                <w:szCs w:val="20"/>
              </w:rPr>
              <w:t>-02-2016</w:t>
            </w:r>
          </w:p>
        </w:tc>
        <w:tc>
          <w:tcPr>
            <w:tcW w:w="6095" w:type="dxa"/>
            <w:tcBorders>
              <w:top w:val="nil"/>
              <w:left w:val="nil"/>
              <w:bottom w:val="single" w:color="auto" w:sz="4" w:space="0"/>
              <w:right w:val="single" w:color="auto" w:sz="4" w:space="0"/>
            </w:tcBorders>
            <w:shd w:val="clear" w:color="auto" w:fill="auto"/>
            <w:hideMark/>
          </w:tcPr>
          <w:p w:rsidRPr="005379A2" w:rsidR="00E40D04" w:rsidP="007175BF" w:rsidRDefault="00E40D04" w14:paraId="0E17C7E5" w14:textId="77777777">
            <w:pPr>
              <w:spacing w:line="240" w:lineRule="auto"/>
              <w:jc w:val="left"/>
              <w:rPr>
                <w:rFonts w:cs="Arial"/>
                <w:color w:val="000000"/>
                <w:sz w:val="20"/>
                <w:szCs w:val="20"/>
              </w:rPr>
            </w:pPr>
            <w:r w:rsidRPr="005379A2">
              <w:rPr>
                <w:rFonts w:cs="Arial"/>
                <w:color w:val="000000"/>
                <w:sz w:val="20"/>
                <w:szCs w:val="20"/>
              </w:rPr>
              <w:t xml:space="preserve">Ny version. Ændring af </w:t>
            </w:r>
            <w:r>
              <w:rPr>
                <w:rFonts w:cs="Arial"/>
                <w:color w:val="000000"/>
                <w:sz w:val="20"/>
                <w:szCs w:val="20"/>
              </w:rPr>
              <w:t>SST</w:t>
            </w:r>
            <w:r w:rsidRPr="005379A2">
              <w:rPr>
                <w:rFonts w:cs="Arial"/>
                <w:color w:val="000000"/>
                <w:sz w:val="20"/>
                <w:szCs w:val="20"/>
              </w:rPr>
              <w:t xml:space="preserve"> til Lægemiddelstyrelsen</w:t>
            </w:r>
            <w:r>
              <w:rPr>
                <w:rFonts w:cs="Arial"/>
                <w:color w:val="000000"/>
                <w:sz w:val="20"/>
                <w:szCs w:val="20"/>
              </w:rPr>
              <w:t>. Ingen væsentlige ændringer af indhold.</w:t>
            </w:r>
          </w:p>
        </w:tc>
      </w:tr>
      <w:tr w:rsidRPr="005379A2" w:rsidR="00E40D04" w:rsidTr="007175BF" w14:paraId="6A972C55" w14:textId="77777777">
        <w:trPr>
          <w:trHeight w:val="255"/>
        </w:trPr>
        <w:tc>
          <w:tcPr>
            <w:tcW w:w="874" w:type="dxa"/>
            <w:tcBorders>
              <w:top w:val="nil"/>
              <w:left w:val="single" w:color="auto" w:sz="4" w:space="0"/>
              <w:bottom w:val="single" w:color="auto" w:sz="4" w:space="0"/>
              <w:right w:val="single" w:color="auto" w:sz="4" w:space="0"/>
            </w:tcBorders>
            <w:shd w:val="clear" w:color="auto" w:fill="auto"/>
            <w:noWrap/>
            <w:vAlign w:val="bottom"/>
            <w:hideMark/>
          </w:tcPr>
          <w:p w:rsidRPr="005379A2" w:rsidR="00E40D04" w:rsidP="007175BF" w:rsidRDefault="00E40D04" w14:paraId="0EA43CDC" w14:textId="77777777">
            <w:pPr>
              <w:spacing w:line="240" w:lineRule="auto"/>
              <w:jc w:val="left"/>
              <w:rPr>
                <w:rFonts w:cs="Arial"/>
                <w:color w:val="000000"/>
                <w:sz w:val="20"/>
                <w:szCs w:val="20"/>
              </w:rPr>
            </w:pPr>
            <w:r>
              <w:rPr>
                <w:rFonts w:cs="Arial"/>
                <w:color w:val="000000"/>
                <w:sz w:val="20"/>
                <w:szCs w:val="20"/>
              </w:rPr>
              <w:t>1.0.6</w:t>
            </w:r>
          </w:p>
        </w:tc>
        <w:tc>
          <w:tcPr>
            <w:tcW w:w="1253" w:type="dxa"/>
            <w:tcBorders>
              <w:top w:val="nil"/>
              <w:left w:val="nil"/>
              <w:bottom w:val="single" w:color="auto" w:sz="4" w:space="0"/>
              <w:right w:val="single" w:color="auto" w:sz="4" w:space="0"/>
            </w:tcBorders>
            <w:shd w:val="clear" w:color="auto" w:fill="auto"/>
            <w:noWrap/>
            <w:vAlign w:val="bottom"/>
            <w:hideMark/>
          </w:tcPr>
          <w:p w:rsidRPr="005379A2" w:rsidR="00E40D04" w:rsidP="00E40D04" w:rsidRDefault="00E40D04" w14:paraId="1ABC786A" w14:textId="77777777">
            <w:pPr>
              <w:spacing w:line="240" w:lineRule="auto"/>
              <w:jc w:val="right"/>
              <w:rPr>
                <w:rFonts w:cs="Arial"/>
                <w:color w:val="000000"/>
                <w:sz w:val="20"/>
                <w:szCs w:val="20"/>
              </w:rPr>
            </w:pPr>
            <w:r>
              <w:rPr>
                <w:rFonts w:cs="Arial"/>
                <w:color w:val="000000"/>
                <w:sz w:val="20"/>
                <w:szCs w:val="20"/>
              </w:rPr>
              <w:t>29-05-2017</w:t>
            </w:r>
          </w:p>
        </w:tc>
        <w:tc>
          <w:tcPr>
            <w:tcW w:w="6095" w:type="dxa"/>
            <w:tcBorders>
              <w:top w:val="nil"/>
              <w:left w:val="nil"/>
              <w:bottom w:val="single" w:color="auto" w:sz="4" w:space="0"/>
              <w:right w:val="single" w:color="auto" w:sz="4" w:space="0"/>
            </w:tcBorders>
            <w:shd w:val="clear" w:color="auto" w:fill="auto"/>
            <w:noWrap/>
            <w:vAlign w:val="bottom"/>
            <w:hideMark/>
          </w:tcPr>
          <w:p w:rsidRPr="005379A2" w:rsidR="00E40D04" w:rsidP="007175BF" w:rsidRDefault="00E40D04" w14:paraId="01C7B46E" w14:textId="77777777">
            <w:pPr>
              <w:spacing w:line="240" w:lineRule="auto"/>
              <w:jc w:val="left"/>
              <w:rPr>
                <w:rFonts w:cs="Arial"/>
                <w:color w:val="000000"/>
                <w:sz w:val="20"/>
                <w:szCs w:val="20"/>
              </w:rPr>
            </w:pPr>
            <w:r w:rsidRPr="00E40D04">
              <w:rPr>
                <w:rFonts w:cs="Arial"/>
                <w:color w:val="000000"/>
                <w:sz w:val="20"/>
                <w:szCs w:val="20"/>
              </w:rPr>
              <w:t>Nye formuleringer om certificering, henvisning designdokument, rettelse</w:t>
            </w:r>
            <w:r>
              <w:rPr>
                <w:rFonts w:cs="Arial"/>
                <w:color w:val="000000"/>
                <w:sz w:val="20"/>
                <w:szCs w:val="20"/>
              </w:rPr>
              <w:t xml:space="preserve"> </w:t>
            </w:r>
            <w:r w:rsidRPr="00E40D04">
              <w:rPr>
                <w:rFonts w:cs="Arial"/>
                <w:color w:val="000000"/>
                <w:sz w:val="20"/>
                <w:szCs w:val="20"/>
              </w:rPr>
              <w:t>til de særlige danske felter, smårettelser</w:t>
            </w:r>
          </w:p>
        </w:tc>
      </w:tr>
      <w:tr w:rsidRPr="005379A2" w:rsidR="00E40D04" w:rsidTr="00E40D04" w14:paraId="7D82CC2A" w14:textId="77777777">
        <w:trPr>
          <w:trHeight w:val="255"/>
        </w:trPr>
        <w:tc>
          <w:tcPr>
            <w:tcW w:w="874" w:type="dxa"/>
            <w:tcBorders>
              <w:top w:val="nil"/>
              <w:left w:val="single" w:color="auto" w:sz="4" w:space="0"/>
              <w:bottom w:val="single" w:color="auto" w:sz="4" w:space="0"/>
              <w:right w:val="single" w:color="auto" w:sz="4" w:space="0"/>
            </w:tcBorders>
            <w:shd w:val="clear" w:color="auto" w:fill="auto"/>
            <w:noWrap/>
            <w:vAlign w:val="bottom"/>
            <w:hideMark/>
          </w:tcPr>
          <w:p w:rsidRPr="005379A2" w:rsidR="00E40D04" w:rsidP="007175BF" w:rsidRDefault="00E40D04" w14:paraId="73DA4335" w14:textId="77777777">
            <w:pPr>
              <w:spacing w:line="240" w:lineRule="auto"/>
              <w:jc w:val="left"/>
              <w:rPr>
                <w:rFonts w:cs="Arial"/>
                <w:color w:val="000000"/>
                <w:sz w:val="20"/>
                <w:szCs w:val="20"/>
              </w:rPr>
            </w:pPr>
            <w:r>
              <w:rPr>
                <w:rFonts w:cs="Arial"/>
                <w:color w:val="000000"/>
                <w:sz w:val="20"/>
                <w:szCs w:val="20"/>
              </w:rPr>
              <w:t>1.0.6.1</w:t>
            </w:r>
          </w:p>
        </w:tc>
        <w:tc>
          <w:tcPr>
            <w:tcW w:w="1253" w:type="dxa"/>
            <w:tcBorders>
              <w:top w:val="nil"/>
              <w:left w:val="nil"/>
              <w:bottom w:val="single" w:color="auto" w:sz="4" w:space="0"/>
              <w:right w:val="single" w:color="auto" w:sz="4" w:space="0"/>
            </w:tcBorders>
            <w:shd w:val="clear" w:color="auto" w:fill="auto"/>
            <w:noWrap/>
            <w:vAlign w:val="bottom"/>
            <w:hideMark/>
          </w:tcPr>
          <w:p w:rsidRPr="005379A2" w:rsidR="00E40D04" w:rsidP="00E40D04" w:rsidRDefault="00E40D04" w14:paraId="1C1CD9D1" w14:textId="77777777">
            <w:pPr>
              <w:spacing w:line="240" w:lineRule="auto"/>
              <w:jc w:val="right"/>
              <w:rPr>
                <w:rFonts w:cs="Arial"/>
                <w:color w:val="000000"/>
                <w:sz w:val="20"/>
                <w:szCs w:val="20"/>
              </w:rPr>
            </w:pPr>
            <w:r>
              <w:rPr>
                <w:rFonts w:cs="Arial"/>
                <w:color w:val="000000"/>
                <w:sz w:val="20"/>
                <w:szCs w:val="20"/>
              </w:rPr>
              <w:t>09-06-2017</w:t>
            </w:r>
          </w:p>
        </w:tc>
        <w:tc>
          <w:tcPr>
            <w:tcW w:w="6095" w:type="dxa"/>
            <w:tcBorders>
              <w:top w:val="nil"/>
              <w:left w:val="nil"/>
              <w:bottom w:val="single" w:color="auto" w:sz="4" w:space="0"/>
              <w:right w:val="single" w:color="auto" w:sz="4" w:space="0"/>
            </w:tcBorders>
            <w:shd w:val="clear" w:color="auto" w:fill="auto"/>
            <w:noWrap/>
            <w:vAlign w:val="bottom"/>
            <w:hideMark/>
          </w:tcPr>
          <w:p w:rsidRPr="005379A2" w:rsidR="00E40D04" w:rsidP="007175BF" w:rsidRDefault="00E40D04" w14:paraId="40420D54" w14:textId="77777777">
            <w:pPr>
              <w:spacing w:line="240" w:lineRule="auto"/>
              <w:jc w:val="left"/>
              <w:rPr>
                <w:rFonts w:cs="Arial"/>
                <w:color w:val="000000"/>
                <w:sz w:val="20"/>
                <w:szCs w:val="20"/>
              </w:rPr>
            </w:pPr>
            <w:r>
              <w:rPr>
                <w:rFonts w:cs="Arial"/>
                <w:color w:val="000000"/>
                <w:sz w:val="20"/>
                <w:szCs w:val="20"/>
              </w:rPr>
              <w:t>Rettelse til XML i bilag</w:t>
            </w:r>
          </w:p>
        </w:tc>
      </w:tr>
      <w:tr w:rsidRPr="005379A2" w:rsidR="00E40D04" w:rsidTr="00E40D04" w14:paraId="7F981695" w14:textId="77777777">
        <w:trPr>
          <w:trHeight w:val="255"/>
        </w:trPr>
        <w:tc>
          <w:tcPr>
            <w:tcW w:w="874" w:type="dxa"/>
            <w:tcBorders>
              <w:top w:val="single" w:color="auto" w:sz="4" w:space="0"/>
              <w:left w:val="single" w:color="auto" w:sz="4" w:space="0"/>
              <w:bottom w:val="single" w:color="auto" w:sz="4" w:space="0"/>
              <w:right w:val="single" w:color="auto" w:sz="4" w:space="0"/>
            </w:tcBorders>
            <w:shd w:val="clear" w:color="auto" w:fill="auto"/>
            <w:noWrap/>
            <w:vAlign w:val="bottom"/>
          </w:tcPr>
          <w:p w:rsidR="00E40D04" w:rsidP="007175BF" w:rsidRDefault="00E40D04" w14:paraId="699E2A8F" w14:textId="77777777">
            <w:pPr>
              <w:spacing w:line="240" w:lineRule="auto"/>
              <w:jc w:val="left"/>
              <w:rPr>
                <w:rFonts w:cs="Arial"/>
                <w:color w:val="000000"/>
                <w:sz w:val="20"/>
                <w:szCs w:val="20"/>
              </w:rPr>
            </w:pPr>
            <w:r>
              <w:rPr>
                <w:rFonts w:cs="Arial"/>
                <w:color w:val="000000"/>
                <w:sz w:val="20"/>
                <w:szCs w:val="20"/>
              </w:rPr>
              <w:t>2.0</w:t>
            </w:r>
          </w:p>
        </w:tc>
        <w:tc>
          <w:tcPr>
            <w:tcW w:w="1253" w:type="dxa"/>
            <w:tcBorders>
              <w:top w:val="single" w:color="auto" w:sz="4" w:space="0"/>
              <w:left w:val="nil"/>
              <w:bottom w:val="single" w:color="auto" w:sz="4" w:space="0"/>
              <w:right w:val="single" w:color="auto" w:sz="4" w:space="0"/>
            </w:tcBorders>
            <w:shd w:val="clear" w:color="auto" w:fill="auto"/>
            <w:noWrap/>
            <w:vAlign w:val="bottom"/>
          </w:tcPr>
          <w:p w:rsidR="00E40D04" w:rsidP="00E40D04" w:rsidRDefault="00E40D04" w14:paraId="6DF9F7C6" w14:textId="77777777">
            <w:pPr>
              <w:spacing w:line="240" w:lineRule="auto"/>
              <w:jc w:val="right"/>
              <w:rPr>
                <w:rFonts w:cs="Arial"/>
                <w:color w:val="000000"/>
                <w:sz w:val="20"/>
                <w:szCs w:val="20"/>
              </w:rPr>
            </w:pPr>
            <w:r>
              <w:rPr>
                <w:rFonts w:cs="Arial"/>
                <w:color w:val="000000"/>
                <w:sz w:val="20"/>
                <w:szCs w:val="20"/>
              </w:rPr>
              <w:t>15-03-2022</w:t>
            </w:r>
          </w:p>
        </w:tc>
        <w:tc>
          <w:tcPr>
            <w:tcW w:w="6095" w:type="dxa"/>
            <w:tcBorders>
              <w:top w:val="single" w:color="auto" w:sz="4" w:space="0"/>
              <w:left w:val="nil"/>
              <w:bottom w:val="single" w:color="auto" w:sz="4" w:space="0"/>
              <w:right w:val="single" w:color="auto" w:sz="4" w:space="0"/>
            </w:tcBorders>
            <w:shd w:val="clear" w:color="auto" w:fill="auto"/>
            <w:noWrap/>
            <w:vAlign w:val="bottom"/>
          </w:tcPr>
          <w:p w:rsidR="00E40D04" w:rsidP="007175BF" w:rsidRDefault="00E40D04" w14:paraId="21BB8619" w14:textId="77777777">
            <w:pPr>
              <w:spacing w:line="240" w:lineRule="auto"/>
              <w:jc w:val="left"/>
              <w:rPr>
                <w:rFonts w:cs="Arial"/>
                <w:color w:val="000000"/>
                <w:sz w:val="20"/>
                <w:szCs w:val="20"/>
              </w:rPr>
            </w:pPr>
            <w:r>
              <w:rPr>
                <w:rFonts w:cs="Arial"/>
                <w:color w:val="000000"/>
                <w:sz w:val="20"/>
                <w:szCs w:val="20"/>
              </w:rPr>
              <w:t>Første udgave tilpasset R3 webservice</w:t>
            </w:r>
          </w:p>
        </w:tc>
      </w:tr>
    </w:tbl>
    <w:p w:rsidRPr="005379A2" w:rsidR="00E40D04" w:rsidP="00E40D04" w:rsidRDefault="00E40D04" w14:paraId="5997CC1D" w14:textId="77777777">
      <w:pPr>
        <w:rPr>
          <w:i/>
          <w:sz w:val="32"/>
          <w:szCs w:val="32"/>
        </w:rPr>
      </w:pPr>
    </w:p>
    <w:p w:rsidRPr="005379A2" w:rsidR="00E40D04" w:rsidP="00E40D04" w:rsidRDefault="00E40D04" w14:paraId="110FFD37" w14:textId="77777777">
      <w:pPr>
        <w:jc w:val="left"/>
      </w:pPr>
      <w:r w:rsidRPr="005379A2">
        <w:br w:type="page"/>
      </w:r>
    </w:p>
    <w:p w:rsidRPr="00C7681D" w:rsidR="00E40D04" w:rsidP="00E40D04" w:rsidRDefault="559030AF" w14:paraId="08DDBD6C" w14:textId="77777777">
      <w:pPr>
        <w:pStyle w:val="Overskrift1"/>
      </w:pPr>
      <w:bookmarkStart w:name="_Toc98853558" w:id="1"/>
      <w:r>
        <w:lastRenderedPageBreak/>
        <w:t>Indhold</w:t>
      </w:r>
      <w:bookmarkEnd w:id="1"/>
    </w:p>
    <w:p w:rsidR="74220A13" w:rsidP="74220A13" w:rsidRDefault="74220A13" w14:paraId="21F44941" w14:textId="1BCA3769"/>
    <w:p w:rsidR="00344EEB" w:rsidRDefault="00E40D04" w14:paraId="782FD035" w14:textId="77777777">
      <w:pPr>
        <w:pStyle w:val="Indholdsfortegnelse1"/>
        <w:tabs>
          <w:tab w:val="right" w:leader="dot" w:pos="8290"/>
        </w:tabs>
        <w:rPr>
          <w:rFonts w:asciiTheme="minorHAnsi" w:hAnsiTheme="minorHAnsi" w:eastAsiaTheme="minorEastAsia" w:cstheme="minorBidi"/>
          <w:noProof/>
          <w:szCs w:val="22"/>
          <w:lang w:eastAsia="da-DK"/>
        </w:rPr>
      </w:pPr>
      <w:r>
        <w:fldChar w:fldCharType="begin"/>
      </w:r>
      <w:r>
        <w:instrText xml:space="preserve"> TOC \o "1-3" </w:instrText>
      </w:r>
      <w:r>
        <w:fldChar w:fldCharType="separate"/>
      </w:r>
      <w:r w:rsidR="00344EEB">
        <w:rPr>
          <w:noProof/>
        </w:rPr>
        <w:t>Dokument historik</w:t>
      </w:r>
      <w:r w:rsidR="00344EEB">
        <w:rPr>
          <w:noProof/>
        </w:rPr>
        <w:tab/>
      </w:r>
      <w:r w:rsidR="00344EEB">
        <w:rPr>
          <w:noProof/>
        </w:rPr>
        <w:fldChar w:fldCharType="begin"/>
      </w:r>
      <w:r w:rsidR="00344EEB">
        <w:rPr>
          <w:noProof/>
        </w:rPr>
        <w:instrText xml:space="preserve"> PAGEREF _Toc98853557 \h </w:instrText>
      </w:r>
      <w:r w:rsidR="00344EEB">
        <w:rPr>
          <w:noProof/>
        </w:rPr>
      </w:r>
      <w:r w:rsidR="00344EEB">
        <w:rPr>
          <w:noProof/>
        </w:rPr>
        <w:fldChar w:fldCharType="separate"/>
      </w:r>
      <w:r w:rsidR="00344EEB">
        <w:rPr>
          <w:noProof/>
        </w:rPr>
        <w:t>1</w:t>
      </w:r>
      <w:r w:rsidR="00344EEB">
        <w:rPr>
          <w:noProof/>
        </w:rPr>
        <w:fldChar w:fldCharType="end"/>
      </w:r>
    </w:p>
    <w:p w:rsidR="00344EEB" w:rsidRDefault="00344EEB" w14:paraId="60FBFC0E" w14:textId="77777777">
      <w:pPr>
        <w:pStyle w:val="Indholdsfortegnelse1"/>
        <w:tabs>
          <w:tab w:val="right" w:leader="dot" w:pos="8290"/>
        </w:tabs>
        <w:rPr>
          <w:rFonts w:asciiTheme="minorHAnsi" w:hAnsiTheme="minorHAnsi" w:eastAsiaTheme="minorEastAsia" w:cstheme="minorBidi"/>
          <w:noProof/>
          <w:szCs w:val="22"/>
          <w:lang w:eastAsia="da-DK"/>
        </w:rPr>
      </w:pPr>
      <w:r>
        <w:rPr>
          <w:noProof/>
        </w:rPr>
        <w:t>Indhold</w:t>
      </w:r>
      <w:r>
        <w:rPr>
          <w:noProof/>
        </w:rPr>
        <w:tab/>
      </w:r>
      <w:r>
        <w:rPr>
          <w:noProof/>
        </w:rPr>
        <w:fldChar w:fldCharType="begin"/>
      </w:r>
      <w:r>
        <w:rPr>
          <w:noProof/>
        </w:rPr>
        <w:instrText xml:space="preserve"> PAGEREF _Toc98853558 \h </w:instrText>
      </w:r>
      <w:r>
        <w:rPr>
          <w:noProof/>
        </w:rPr>
      </w:r>
      <w:r>
        <w:rPr>
          <w:noProof/>
        </w:rPr>
        <w:fldChar w:fldCharType="separate"/>
      </w:r>
      <w:r>
        <w:rPr>
          <w:noProof/>
        </w:rPr>
        <w:t>2</w:t>
      </w:r>
      <w:r>
        <w:rPr>
          <w:noProof/>
        </w:rPr>
        <w:fldChar w:fldCharType="end"/>
      </w:r>
    </w:p>
    <w:p w:rsidR="00344EEB" w:rsidRDefault="00344EEB" w14:paraId="69384449" w14:textId="77777777">
      <w:pPr>
        <w:pStyle w:val="Indholdsfortegnelse1"/>
        <w:tabs>
          <w:tab w:val="right" w:leader="dot" w:pos="8290"/>
        </w:tabs>
        <w:rPr>
          <w:rFonts w:asciiTheme="minorHAnsi" w:hAnsiTheme="minorHAnsi" w:eastAsiaTheme="minorEastAsia" w:cstheme="minorBidi"/>
          <w:noProof/>
          <w:szCs w:val="22"/>
          <w:lang w:eastAsia="da-DK"/>
        </w:rPr>
      </w:pPr>
      <w:r>
        <w:rPr>
          <w:noProof/>
        </w:rPr>
        <w:t>Indledning</w:t>
      </w:r>
      <w:r>
        <w:rPr>
          <w:noProof/>
        </w:rPr>
        <w:tab/>
      </w:r>
      <w:r>
        <w:rPr>
          <w:noProof/>
        </w:rPr>
        <w:fldChar w:fldCharType="begin"/>
      </w:r>
      <w:r>
        <w:rPr>
          <w:noProof/>
        </w:rPr>
        <w:instrText xml:space="preserve"> PAGEREF _Toc98853559 \h </w:instrText>
      </w:r>
      <w:r>
        <w:rPr>
          <w:noProof/>
        </w:rPr>
      </w:r>
      <w:r>
        <w:rPr>
          <w:noProof/>
        </w:rPr>
        <w:fldChar w:fldCharType="separate"/>
      </w:r>
      <w:r>
        <w:rPr>
          <w:noProof/>
        </w:rPr>
        <w:t>3</w:t>
      </w:r>
      <w:r>
        <w:rPr>
          <w:noProof/>
        </w:rPr>
        <w:fldChar w:fldCharType="end"/>
      </w:r>
    </w:p>
    <w:p w:rsidR="00344EEB" w:rsidRDefault="00344EEB" w14:paraId="166A4335" w14:textId="77777777">
      <w:pPr>
        <w:pStyle w:val="Indholdsfortegnelse1"/>
        <w:tabs>
          <w:tab w:val="right" w:leader="dot" w:pos="8290"/>
        </w:tabs>
        <w:rPr>
          <w:rFonts w:asciiTheme="minorHAnsi" w:hAnsiTheme="minorHAnsi" w:eastAsiaTheme="minorEastAsia" w:cstheme="minorBidi"/>
          <w:noProof/>
          <w:szCs w:val="22"/>
          <w:lang w:eastAsia="da-DK"/>
        </w:rPr>
      </w:pPr>
      <w:r>
        <w:rPr>
          <w:noProof/>
        </w:rPr>
        <w:t>Ibrugtagning og test</w:t>
      </w:r>
      <w:r>
        <w:rPr>
          <w:noProof/>
        </w:rPr>
        <w:tab/>
      </w:r>
      <w:r>
        <w:rPr>
          <w:noProof/>
        </w:rPr>
        <w:fldChar w:fldCharType="begin"/>
      </w:r>
      <w:r>
        <w:rPr>
          <w:noProof/>
        </w:rPr>
        <w:instrText xml:space="preserve"> PAGEREF _Toc98853560 \h </w:instrText>
      </w:r>
      <w:r>
        <w:rPr>
          <w:noProof/>
        </w:rPr>
      </w:r>
      <w:r>
        <w:rPr>
          <w:noProof/>
        </w:rPr>
        <w:fldChar w:fldCharType="separate"/>
      </w:r>
      <w:r>
        <w:rPr>
          <w:noProof/>
        </w:rPr>
        <w:t>3</w:t>
      </w:r>
      <w:r>
        <w:rPr>
          <w:noProof/>
        </w:rPr>
        <w:fldChar w:fldCharType="end"/>
      </w:r>
    </w:p>
    <w:p w:rsidR="00344EEB" w:rsidRDefault="00344EEB" w14:paraId="4D769808" w14:textId="77777777">
      <w:pPr>
        <w:pStyle w:val="Indholdsfortegnelse1"/>
        <w:tabs>
          <w:tab w:val="right" w:leader="dot" w:pos="8290"/>
        </w:tabs>
        <w:rPr>
          <w:rFonts w:asciiTheme="minorHAnsi" w:hAnsiTheme="minorHAnsi" w:eastAsiaTheme="minorEastAsia" w:cstheme="minorBidi"/>
          <w:noProof/>
          <w:szCs w:val="22"/>
          <w:lang w:eastAsia="da-DK"/>
        </w:rPr>
      </w:pPr>
      <w:r>
        <w:rPr>
          <w:noProof/>
        </w:rPr>
        <w:t>Terminologi</w:t>
      </w:r>
      <w:r>
        <w:rPr>
          <w:noProof/>
        </w:rPr>
        <w:tab/>
      </w:r>
      <w:r>
        <w:rPr>
          <w:noProof/>
        </w:rPr>
        <w:fldChar w:fldCharType="begin"/>
      </w:r>
      <w:r>
        <w:rPr>
          <w:noProof/>
        </w:rPr>
        <w:instrText xml:space="preserve"> PAGEREF _Toc98853561 \h </w:instrText>
      </w:r>
      <w:r>
        <w:rPr>
          <w:noProof/>
        </w:rPr>
      </w:r>
      <w:r>
        <w:rPr>
          <w:noProof/>
        </w:rPr>
        <w:fldChar w:fldCharType="separate"/>
      </w:r>
      <w:r>
        <w:rPr>
          <w:noProof/>
        </w:rPr>
        <w:t>4</w:t>
      </w:r>
      <w:r>
        <w:rPr>
          <w:noProof/>
        </w:rPr>
        <w:fldChar w:fldCharType="end"/>
      </w:r>
    </w:p>
    <w:p w:rsidR="00344EEB" w:rsidRDefault="00344EEB" w14:paraId="7F05A1E2" w14:textId="77777777">
      <w:pPr>
        <w:pStyle w:val="Indholdsfortegnelse1"/>
        <w:tabs>
          <w:tab w:val="right" w:leader="dot" w:pos="8290"/>
        </w:tabs>
        <w:rPr>
          <w:rFonts w:asciiTheme="minorHAnsi" w:hAnsiTheme="minorHAnsi" w:eastAsiaTheme="minorEastAsia" w:cstheme="minorBidi"/>
          <w:noProof/>
          <w:szCs w:val="22"/>
          <w:lang w:eastAsia="da-DK"/>
        </w:rPr>
      </w:pPr>
      <w:r>
        <w:rPr>
          <w:noProof/>
        </w:rPr>
        <w:t>Arkitektur</w:t>
      </w:r>
      <w:r>
        <w:rPr>
          <w:noProof/>
        </w:rPr>
        <w:tab/>
      </w:r>
      <w:r>
        <w:rPr>
          <w:noProof/>
        </w:rPr>
        <w:fldChar w:fldCharType="begin"/>
      </w:r>
      <w:r>
        <w:rPr>
          <w:noProof/>
        </w:rPr>
        <w:instrText xml:space="preserve"> PAGEREF _Toc98853562 \h </w:instrText>
      </w:r>
      <w:r>
        <w:rPr>
          <w:noProof/>
        </w:rPr>
      </w:r>
      <w:r>
        <w:rPr>
          <w:noProof/>
        </w:rPr>
        <w:fldChar w:fldCharType="separate"/>
      </w:r>
      <w:r>
        <w:rPr>
          <w:noProof/>
        </w:rPr>
        <w:t>4</w:t>
      </w:r>
      <w:r>
        <w:rPr>
          <w:noProof/>
        </w:rPr>
        <w:fldChar w:fldCharType="end"/>
      </w:r>
    </w:p>
    <w:p w:rsidR="00344EEB" w:rsidRDefault="00344EEB" w14:paraId="7B6A1FE0" w14:textId="77777777">
      <w:pPr>
        <w:pStyle w:val="Indholdsfortegnelse1"/>
        <w:tabs>
          <w:tab w:val="right" w:leader="dot" w:pos="8290"/>
        </w:tabs>
        <w:rPr>
          <w:rFonts w:asciiTheme="minorHAnsi" w:hAnsiTheme="minorHAnsi" w:eastAsiaTheme="minorEastAsia" w:cstheme="minorBidi"/>
          <w:noProof/>
          <w:szCs w:val="22"/>
          <w:lang w:eastAsia="da-DK"/>
        </w:rPr>
      </w:pPr>
      <w:r>
        <w:rPr>
          <w:noProof/>
        </w:rPr>
        <w:t>Webservice snitflade</w:t>
      </w:r>
      <w:r>
        <w:rPr>
          <w:noProof/>
        </w:rPr>
        <w:tab/>
      </w:r>
      <w:r>
        <w:rPr>
          <w:noProof/>
        </w:rPr>
        <w:fldChar w:fldCharType="begin"/>
      </w:r>
      <w:r>
        <w:rPr>
          <w:noProof/>
        </w:rPr>
        <w:instrText xml:space="preserve"> PAGEREF _Toc98853563 \h </w:instrText>
      </w:r>
      <w:r>
        <w:rPr>
          <w:noProof/>
        </w:rPr>
      </w:r>
      <w:r>
        <w:rPr>
          <w:noProof/>
        </w:rPr>
        <w:fldChar w:fldCharType="separate"/>
      </w:r>
      <w:r>
        <w:rPr>
          <w:noProof/>
        </w:rPr>
        <w:t>5</w:t>
      </w:r>
      <w:r>
        <w:rPr>
          <w:noProof/>
        </w:rPr>
        <w:fldChar w:fldCharType="end"/>
      </w:r>
    </w:p>
    <w:p w:rsidR="00344EEB" w:rsidRDefault="00344EEB" w14:paraId="20F39E95" w14:textId="77777777">
      <w:pPr>
        <w:pStyle w:val="Indholdsfortegnelse2"/>
        <w:tabs>
          <w:tab w:val="right" w:leader="dot" w:pos="8290"/>
        </w:tabs>
        <w:rPr>
          <w:rFonts w:asciiTheme="minorHAnsi" w:hAnsiTheme="minorHAnsi" w:eastAsiaTheme="minorEastAsia" w:cstheme="minorBidi"/>
          <w:noProof/>
          <w:szCs w:val="22"/>
          <w:lang w:eastAsia="da-DK"/>
        </w:rPr>
      </w:pPr>
      <w:r>
        <w:rPr>
          <w:noProof/>
        </w:rPr>
        <w:t>WSDL og test XML</w:t>
      </w:r>
      <w:r>
        <w:rPr>
          <w:noProof/>
        </w:rPr>
        <w:tab/>
      </w:r>
      <w:r>
        <w:rPr>
          <w:noProof/>
        </w:rPr>
        <w:fldChar w:fldCharType="begin"/>
      </w:r>
      <w:r>
        <w:rPr>
          <w:noProof/>
        </w:rPr>
        <w:instrText xml:space="preserve"> PAGEREF _Toc98853564 \h </w:instrText>
      </w:r>
      <w:r>
        <w:rPr>
          <w:noProof/>
        </w:rPr>
      </w:r>
      <w:r>
        <w:rPr>
          <w:noProof/>
        </w:rPr>
        <w:fldChar w:fldCharType="separate"/>
      </w:r>
      <w:r>
        <w:rPr>
          <w:noProof/>
        </w:rPr>
        <w:t>6</w:t>
      </w:r>
      <w:r>
        <w:rPr>
          <w:noProof/>
        </w:rPr>
        <w:fldChar w:fldCharType="end"/>
      </w:r>
    </w:p>
    <w:p w:rsidR="00344EEB" w:rsidRDefault="00344EEB" w14:paraId="2673CACA" w14:textId="77777777">
      <w:pPr>
        <w:pStyle w:val="Indholdsfortegnelse2"/>
        <w:tabs>
          <w:tab w:val="right" w:leader="dot" w:pos="8290"/>
        </w:tabs>
        <w:rPr>
          <w:rFonts w:asciiTheme="minorHAnsi" w:hAnsiTheme="minorHAnsi" w:eastAsiaTheme="minorEastAsia" w:cstheme="minorBidi"/>
          <w:noProof/>
          <w:szCs w:val="22"/>
          <w:lang w:eastAsia="da-DK"/>
        </w:rPr>
      </w:pPr>
      <w:r>
        <w:rPr>
          <w:noProof/>
        </w:rPr>
        <w:t>E2B</w:t>
      </w:r>
      <w:r>
        <w:rPr>
          <w:noProof/>
        </w:rPr>
        <w:tab/>
      </w:r>
      <w:r>
        <w:rPr>
          <w:noProof/>
        </w:rPr>
        <w:fldChar w:fldCharType="begin"/>
      </w:r>
      <w:r>
        <w:rPr>
          <w:noProof/>
        </w:rPr>
        <w:instrText xml:space="preserve"> PAGEREF _Toc98853565 \h </w:instrText>
      </w:r>
      <w:r>
        <w:rPr>
          <w:noProof/>
        </w:rPr>
      </w:r>
      <w:r>
        <w:rPr>
          <w:noProof/>
        </w:rPr>
        <w:fldChar w:fldCharType="separate"/>
      </w:r>
      <w:r>
        <w:rPr>
          <w:noProof/>
        </w:rPr>
        <w:t>6</w:t>
      </w:r>
      <w:r>
        <w:rPr>
          <w:noProof/>
        </w:rPr>
        <w:fldChar w:fldCharType="end"/>
      </w:r>
    </w:p>
    <w:p w:rsidR="00344EEB" w:rsidRDefault="00344EEB" w14:paraId="2E83C667" w14:textId="77777777">
      <w:pPr>
        <w:pStyle w:val="Indholdsfortegnelse1"/>
        <w:tabs>
          <w:tab w:val="right" w:leader="dot" w:pos="8290"/>
        </w:tabs>
        <w:rPr>
          <w:rFonts w:asciiTheme="minorHAnsi" w:hAnsiTheme="minorHAnsi" w:eastAsiaTheme="minorEastAsia" w:cstheme="minorBidi"/>
          <w:noProof/>
          <w:szCs w:val="22"/>
          <w:lang w:eastAsia="da-DK"/>
        </w:rPr>
      </w:pPr>
      <w:r>
        <w:rPr>
          <w:noProof/>
        </w:rPr>
        <w:t>Integrationen til BivWS på NSP</w:t>
      </w:r>
      <w:r>
        <w:rPr>
          <w:noProof/>
        </w:rPr>
        <w:tab/>
      </w:r>
      <w:r>
        <w:rPr>
          <w:noProof/>
        </w:rPr>
        <w:fldChar w:fldCharType="begin"/>
      </w:r>
      <w:r>
        <w:rPr>
          <w:noProof/>
        </w:rPr>
        <w:instrText xml:space="preserve"> PAGEREF _Toc98853566 \h </w:instrText>
      </w:r>
      <w:r>
        <w:rPr>
          <w:noProof/>
        </w:rPr>
      </w:r>
      <w:r>
        <w:rPr>
          <w:noProof/>
        </w:rPr>
        <w:fldChar w:fldCharType="separate"/>
      </w:r>
      <w:r>
        <w:rPr>
          <w:noProof/>
        </w:rPr>
        <w:t>6</w:t>
      </w:r>
      <w:r>
        <w:rPr>
          <w:noProof/>
        </w:rPr>
        <w:fldChar w:fldCharType="end"/>
      </w:r>
    </w:p>
    <w:p w:rsidR="00344EEB" w:rsidRDefault="00344EEB" w14:paraId="17D81341" w14:textId="77777777">
      <w:pPr>
        <w:pStyle w:val="Indholdsfortegnelse2"/>
        <w:tabs>
          <w:tab w:val="right" w:leader="dot" w:pos="8290"/>
        </w:tabs>
        <w:rPr>
          <w:rFonts w:asciiTheme="minorHAnsi" w:hAnsiTheme="minorHAnsi" w:eastAsiaTheme="minorEastAsia" w:cstheme="minorBidi"/>
          <w:noProof/>
          <w:szCs w:val="22"/>
          <w:lang w:eastAsia="da-DK"/>
        </w:rPr>
      </w:pPr>
      <w:r>
        <w:rPr>
          <w:noProof/>
        </w:rPr>
        <w:t>Netværk</w:t>
      </w:r>
      <w:r>
        <w:rPr>
          <w:noProof/>
        </w:rPr>
        <w:tab/>
      </w:r>
      <w:r>
        <w:rPr>
          <w:noProof/>
        </w:rPr>
        <w:fldChar w:fldCharType="begin"/>
      </w:r>
      <w:r>
        <w:rPr>
          <w:noProof/>
        </w:rPr>
        <w:instrText xml:space="preserve"> PAGEREF _Toc98853567 \h </w:instrText>
      </w:r>
      <w:r>
        <w:rPr>
          <w:noProof/>
        </w:rPr>
      </w:r>
      <w:r>
        <w:rPr>
          <w:noProof/>
        </w:rPr>
        <w:fldChar w:fldCharType="separate"/>
      </w:r>
      <w:r>
        <w:rPr>
          <w:noProof/>
        </w:rPr>
        <w:t>6</w:t>
      </w:r>
      <w:r>
        <w:rPr>
          <w:noProof/>
        </w:rPr>
        <w:fldChar w:fldCharType="end"/>
      </w:r>
    </w:p>
    <w:p w:rsidR="00344EEB" w:rsidRDefault="00344EEB" w14:paraId="06002320" w14:textId="77777777">
      <w:pPr>
        <w:pStyle w:val="Indholdsfortegnelse2"/>
        <w:tabs>
          <w:tab w:val="right" w:leader="dot" w:pos="8290"/>
        </w:tabs>
        <w:rPr>
          <w:rFonts w:asciiTheme="minorHAnsi" w:hAnsiTheme="minorHAnsi" w:eastAsiaTheme="minorEastAsia" w:cstheme="minorBidi"/>
          <w:noProof/>
          <w:szCs w:val="22"/>
          <w:lang w:eastAsia="da-DK"/>
        </w:rPr>
      </w:pPr>
      <w:r>
        <w:rPr>
          <w:noProof/>
        </w:rPr>
        <w:t>Id-kort attributter</w:t>
      </w:r>
      <w:r>
        <w:rPr>
          <w:noProof/>
        </w:rPr>
        <w:tab/>
      </w:r>
      <w:r>
        <w:rPr>
          <w:noProof/>
        </w:rPr>
        <w:fldChar w:fldCharType="begin"/>
      </w:r>
      <w:r>
        <w:rPr>
          <w:noProof/>
        </w:rPr>
        <w:instrText xml:space="preserve"> PAGEREF _Toc98853568 \h </w:instrText>
      </w:r>
      <w:r>
        <w:rPr>
          <w:noProof/>
        </w:rPr>
      </w:r>
      <w:r>
        <w:rPr>
          <w:noProof/>
        </w:rPr>
        <w:fldChar w:fldCharType="separate"/>
      </w:r>
      <w:r>
        <w:rPr>
          <w:noProof/>
        </w:rPr>
        <w:t>7</w:t>
      </w:r>
      <w:r>
        <w:rPr>
          <w:noProof/>
        </w:rPr>
        <w:fldChar w:fldCharType="end"/>
      </w:r>
    </w:p>
    <w:p w:rsidR="00344EEB" w:rsidRDefault="00344EEB" w14:paraId="3C7CF14D" w14:textId="77777777">
      <w:pPr>
        <w:pStyle w:val="Indholdsfortegnelse2"/>
        <w:tabs>
          <w:tab w:val="right" w:leader="dot" w:pos="8290"/>
        </w:tabs>
        <w:rPr>
          <w:rFonts w:asciiTheme="minorHAnsi" w:hAnsiTheme="minorHAnsi" w:eastAsiaTheme="minorEastAsia" w:cstheme="minorBidi"/>
          <w:noProof/>
          <w:szCs w:val="22"/>
          <w:lang w:eastAsia="da-DK"/>
        </w:rPr>
      </w:pPr>
      <w:r>
        <w:rPr>
          <w:noProof/>
        </w:rPr>
        <w:t>Kommunikationsmodel</w:t>
      </w:r>
      <w:r>
        <w:rPr>
          <w:noProof/>
        </w:rPr>
        <w:tab/>
      </w:r>
      <w:r>
        <w:rPr>
          <w:noProof/>
        </w:rPr>
        <w:fldChar w:fldCharType="begin"/>
      </w:r>
      <w:r>
        <w:rPr>
          <w:noProof/>
        </w:rPr>
        <w:instrText xml:space="preserve"> PAGEREF _Toc98853569 \h </w:instrText>
      </w:r>
      <w:r>
        <w:rPr>
          <w:noProof/>
        </w:rPr>
      </w:r>
      <w:r>
        <w:rPr>
          <w:noProof/>
        </w:rPr>
        <w:fldChar w:fldCharType="separate"/>
      </w:r>
      <w:r>
        <w:rPr>
          <w:noProof/>
        </w:rPr>
        <w:t>7</w:t>
      </w:r>
      <w:r>
        <w:rPr>
          <w:noProof/>
        </w:rPr>
        <w:fldChar w:fldCharType="end"/>
      </w:r>
    </w:p>
    <w:p w:rsidR="00344EEB" w:rsidRDefault="00344EEB" w14:paraId="3D720049" w14:textId="77777777">
      <w:pPr>
        <w:pStyle w:val="Indholdsfortegnelse2"/>
        <w:tabs>
          <w:tab w:val="right" w:leader="dot" w:pos="8290"/>
        </w:tabs>
        <w:rPr>
          <w:rFonts w:asciiTheme="minorHAnsi" w:hAnsiTheme="minorHAnsi" w:eastAsiaTheme="minorEastAsia" w:cstheme="minorBidi"/>
          <w:noProof/>
          <w:szCs w:val="22"/>
          <w:lang w:eastAsia="da-DK"/>
        </w:rPr>
      </w:pPr>
      <w:r>
        <w:rPr>
          <w:noProof/>
        </w:rPr>
        <w:t>Kuvert attributter</w:t>
      </w:r>
      <w:r>
        <w:rPr>
          <w:noProof/>
        </w:rPr>
        <w:tab/>
      </w:r>
      <w:r>
        <w:rPr>
          <w:noProof/>
        </w:rPr>
        <w:fldChar w:fldCharType="begin"/>
      </w:r>
      <w:r>
        <w:rPr>
          <w:noProof/>
        </w:rPr>
        <w:instrText xml:space="preserve"> PAGEREF _Toc98853570 \h </w:instrText>
      </w:r>
      <w:r>
        <w:rPr>
          <w:noProof/>
        </w:rPr>
      </w:r>
      <w:r>
        <w:rPr>
          <w:noProof/>
        </w:rPr>
        <w:fldChar w:fldCharType="separate"/>
      </w:r>
      <w:r>
        <w:rPr>
          <w:noProof/>
        </w:rPr>
        <w:t>7</w:t>
      </w:r>
      <w:r>
        <w:rPr>
          <w:noProof/>
        </w:rPr>
        <w:fldChar w:fldCharType="end"/>
      </w:r>
    </w:p>
    <w:p w:rsidR="00344EEB" w:rsidRDefault="00344EEB" w14:paraId="1EAAFE9D" w14:textId="77777777">
      <w:pPr>
        <w:pStyle w:val="Indholdsfortegnelse2"/>
        <w:tabs>
          <w:tab w:val="right" w:leader="dot" w:pos="8290"/>
        </w:tabs>
        <w:rPr>
          <w:rFonts w:asciiTheme="minorHAnsi" w:hAnsiTheme="minorHAnsi" w:eastAsiaTheme="minorEastAsia" w:cstheme="minorBidi"/>
          <w:noProof/>
          <w:szCs w:val="22"/>
          <w:lang w:eastAsia="da-DK"/>
        </w:rPr>
      </w:pPr>
      <w:r>
        <w:rPr>
          <w:noProof/>
        </w:rPr>
        <w:t>Logning</w:t>
      </w:r>
      <w:r>
        <w:rPr>
          <w:noProof/>
        </w:rPr>
        <w:tab/>
      </w:r>
      <w:r>
        <w:rPr>
          <w:noProof/>
        </w:rPr>
        <w:fldChar w:fldCharType="begin"/>
      </w:r>
      <w:r>
        <w:rPr>
          <w:noProof/>
        </w:rPr>
        <w:instrText xml:space="preserve"> PAGEREF _Toc98853571 \h </w:instrText>
      </w:r>
      <w:r>
        <w:rPr>
          <w:noProof/>
        </w:rPr>
      </w:r>
      <w:r>
        <w:rPr>
          <w:noProof/>
        </w:rPr>
        <w:fldChar w:fldCharType="separate"/>
      </w:r>
      <w:r>
        <w:rPr>
          <w:noProof/>
        </w:rPr>
        <w:t>8</w:t>
      </w:r>
      <w:r>
        <w:rPr>
          <w:noProof/>
        </w:rPr>
        <w:fldChar w:fldCharType="end"/>
      </w:r>
    </w:p>
    <w:p w:rsidR="00344EEB" w:rsidRDefault="00344EEB" w14:paraId="5D3CE9C1" w14:textId="77777777">
      <w:pPr>
        <w:pStyle w:val="Indholdsfortegnelse1"/>
        <w:tabs>
          <w:tab w:val="right" w:leader="dot" w:pos="8290"/>
        </w:tabs>
        <w:rPr>
          <w:rFonts w:asciiTheme="minorHAnsi" w:hAnsiTheme="minorHAnsi" w:eastAsiaTheme="minorEastAsia" w:cstheme="minorBidi"/>
          <w:noProof/>
          <w:szCs w:val="22"/>
          <w:lang w:eastAsia="da-DK"/>
        </w:rPr>
      </w:pPr>
      <w:r>
        <w:rPr>
          <w:noProof/>
        </w:rPr>
        <w:t>Referencer</w:t>
      </w:r>
      <w:r>
        <w:rPr>
          <w:noProof/>
        </w:rPr>
        <w:tab/>
      </w:r>
      <w:r>
        <w:rPr>
          <w:noProof/>
        </w:rPr>
        <w:fldChar w:fldCharType="begin"/>
      </w:r>
      <w:r>
        <w:rPr>
          <w:noProof/>
        </w:rPr>
        <w:instrText xml:space="preserve"> PAGEREF _Toc98853572 \h </w:instrText>
      </w:r>
      <w:r>
        <w:rPr>
          <w:noProof/>
        </w:rPr>
      </w:r>
      <w:r>
        <w:rPr>
          <w:noProof/>
        </w:rPr>
        <w:fldChar w:fldCharType="separate"/>
      </w:r>
      <w:r>
        <w:rPr>
          <w:noProof/>
        </w:rPr>
        <w:t>9</w:t>
      </w:r>
      <w:r>
        <w:rPr>
          <w:noProof/>
        </w:rPr>
        <w:fldChar w:fldCharType="end"/>
      </w:r>
    </w:p>
    <w:p w:rsidR="00E40D04" w:rsidP="00E40D04" w:rsidRDefault="00E40D04" w14:paraId="6B699379" w14:textId="77777777">
      <w:pPr>
        <w:jc w:val="left"/>
      </w:pPr>
      <w:r>
        <w:fldChar w:fldCharType="end"/>
      </w:r>
    </w:p>
    <w:p w:rsidR="00E40D04" w:rsidP="00E40D04" w:rsidRDefault="00E40D04" w14:paraId="3FE9F23F" w14:textId="77777777">
      <w:pPr>
        <w:jc w:val="left"/>
      </w:pPr>
      <w:r>
        <w:br w:type="page"/>
      </w:r>
    </w:p>
    <w:p w:rsidR="00E40D04" w:rsidP="00E40D04" w:rsidRDefault="00E40D04" w14:paraId="17AE9F17" w14:textId="77777777">
      <w:pPr>
        <w:pStyle w:val="Overskrift1"/>
        <w:jc w:val="left"/>
      </w:pPr>
      <w:bookmarkStart w:name="_Toc98853559" w:id="2"/>
      <w:r w:rsidRPr="00D51971">
        <w:lastRenderedPageBreak/>
        <w:t>Indledning</w:t>
      </w:r>
      <w:bookmarkEnd w:id="2"/>
    </w:p>
    <w:p w:rsidR="00E40D04" w:rsidP="74220A13" w:rsidRDefault="559030AF" w14:paraId="33C221D2" w14:textId="0A845D9D">
      <w:pPr>
        <w:jc w:val="left"/>
      </w:pPr>
      <w:r>
        <w:t>Lægemiddelstyrelsens Bivirkningsindberetnings Web Service (</w:t>
      </w:r>
      <w:proofErr w:type="spellStart"/>
      <w:r>
        <w:t>BivWS</w:t>
      </w:r>
      <w:proofErr w:type="spellEnd"/>
      <w:r>
        <w:t xml:space="preserve">) er en teknisk snitflade til indberetning af bivirkninger for lægemidler og vaccinationer til Lægemiddelstyrelsen. Webservicen kan kaldes af fagsystemer der benyttes af sundhedsfaglige i primær- eller sekundærsektoren. </w:t>
      </w:r>
    </w:p>
    <w:p w:rsidR="00E40D04" w:rsidP="00E40D04" w:rsidRDefault="00E40D04" w14:paraId="1F72F646" w14:textId="77777777">
      <w:pPr>
        <w:jc w:val="left"/>
      </w:pPr>
    </w:p>
    <w:p w:rsidR="00E40D04" w:rsidP="00E40D04" w:rsidRDefault="559030AF" w14:paraId="320951C3" w14:textId="1B728FA9">
      <w:pPr>
        <w:jc w:val="left"/>
      </w:pPr>
      <w:r>
        <w:t>Formålet er at muliggøre en smidig og tidsbesparende indberetning af bivirkninger direkte fra eget fagsystem ved at integrere løsningen i fagsystemet og dermed udnytte den information om eksempelvis patienten, medicin og indberetter, som allerede findes i systemet. Forventningen til løsningen er derfor både at øge antallet og kvaliteten af bivirkningsindberetninger.</w:t>
      </w:r>
    </w:p>
    <w:p w:rsidR="00E40D04" w:rsidP="00E40D04" w:rsidRDefault="00E40D04" w14:paraId="08CE6F91" w14:textId="77777777">
      <w:pPr>
        <w:jc w:val="left"/>
      </w:pPr>
    </w:p>
    <w:p w:rsidR="00E40D04" w:rsidP="00E40D04" w:rsidRDefault="00E40D04" w14:paraId="6D6313F1" w14:textId="77777777">
      <w:pPr>
        <w:jc w:val="left"/>
      </w:pPr>
      <w:proofErr w:type="spellStart"/>
      <w:r>
        <w:t>BivWS</w:t>
      </w:r>
      <w:proofErr w:type="spellEnd"/>
      <w:r>
        <w:t xml:space="preserve"> gøres tilgængelig på Den Nationale Serviceplatform (NSP) af Sundhedsdatastyrelsen og benytter den danske nationale standard for identitetsbaserede webservices i Sundhedssektoren, Den Gode Webservice (DGWS). Systemer, der anvender </w:t>
      </w:r>
      <w:proofErr w:type="spellStart"/>
      <w:r>
        <w:t>BivWS</w:t>
      </w:r>
      <w:proofErr w:type="spellEnd"/>
      <w:r>
        <w:t xml:space="preserve"> (anvendersystemer), vil gøre dette gennem NSP.</w:t>
      </w:r>
      <w:r w:rsidRPr="002C1280">
        <w:t xml:space="preserve"> </w:t>
      </w:r>
    </w:p>
    <w:p w:rsidR="00E40D04" w:rsidP="00E40D04" w:rsidRDefault="00E40D04" w14:paraId="61CDCEAD" w14:textId="77777777">
      <w:pPr>
        <w:jc w:val="left"/>
      </w:pPr>
    </w:p>
    <w:p w:rsidR="00E40D04" w:rsidP="00E40D04" w:rsidRDefault="00E40D04" w14:paraId="26591BF0" w14:textId="77777777">
      <w:pPr>
        <w:jc w:val="left"/>
      </w:pPr>
      <w:r>
        <w:t xml:space="preserve">Dette dokument beskriver arkitekturen bag </w:t>
      </w:r>
      <w:proofErr w:type="spellStart"/>
      <w:r>
        <w:t>BivWS</w:t>
      </w:r>
      <w:proofErr w:type="spellEnd"/>
      <w:r>
        <w:t xml:space="preserve"> og den snitflade anvendersystemet skal benytte i form af DGWS på NSP. </w:t>
      </w:r>
      <w:r w:rsidRPr="001C488F">
        <w:t>Kendskab til DGWS forudsættes</w:t>
      </w:r>
      <w:r>
        <w:t xml:space="preserve">, og dokumentation af DGWS er </w:t>
      </w:r>
      <w:r w:rsidRPr="002E59EC">
        <w:rPr>
          <w:u w:val="single"/>
        </w:rPr>
        <w:t>ikke</w:t>
      </w:r>
      <w:r>
        <w:t xml:space="preserve"> en del af dette dokument</w:t>
      </w:r>
      <w:r w:rsidRPr="00F527D9">
        <w:t>.</w:t>
      </w:r>
    </w:p>
    <w:p w:rsidR="00E40D04" w:rsidP="00E40D04" w:rsidRDefault="00E40D04" w14:paraId="6BB9E253" w14:textId="77777777">
      <w:pPr>
        <w:jc w:val="left"/>
      </w:pPr>
    </w:p>
    <w:p w:rsidR="00E40D04" w:rsidP="00E40D04" w:rsidRDefault="559030AF" w14:paraId="242C3870" w14:textId="49AE79E2">
      <w:pPr>
        <w:jc w:val="left"/>
      </w:pPr>
      <w:r>
        <w:t xml:space="preserve">Logikken i </w:t>
      </w:r>
      <w:proofErr w:type="spellStart"/>
      <w:r>
        <w:t>BivWS</w:t>
      </w:r>
      <w:proofErr w:type="spellEnd"/>
      <w:r>
        <w:t xml:space="preserve"> er implementeret af den </w:t>
      </w:r>
      <w:r w:rsidR="26083A40">
        <w:t xml:space="preserve">danske </w:t>
      </w:r>
      <w:r>
        <w:t>lægemiddelstyrelse (</w:t>
      </w:r>
      <w:r w:rsidR="26083A40">
        <w:t>DKMA</w:t>
      </w:r>
      <w:r>
        <w:t xml:space="preserve">). Når et anvendersystem kalder webservicen på NSP </w:t>
      </w:r>
      <w:r w:rsidR="26083A40">
        <w:t>vil de indberettede data blive valideret. Hvis der ikke findes valideringsfejl vil data blive leveret videre til sagsbehandling hos Lægemiddelstyrelsen via det fællesnordiske bivirkningsdatabase og sagsbehandlingssystem Juno</w:t>
      </w:r>
      <w:r>
        <w:t>.</w:t>
      </w:r>
    </w:p>
    <w:p w:rsidR="00E40D04" w:rsidP="00E40D04" w:rsidRDefault="00E40D04" w14:paraId="57FF23FE" w14:textId="77777777">
      <w:pPr>
        <w:pStyle w:val="Overskrift1"/>
      </w:pPr>
      <w:bookmarkStart w:name="_Toc98853560" w:id="3"/>
      <w:r>
        <w:t>Ibrugtagning og test</w:t>
      </w:r>
      <w:bookmarkEnd w:id="3"/>
    </w:p>
    <w:p w:rsidR="00565398" w:rsidP="00E40D04" w:rsidRDefault="00E40D04" w14:paraId="67C5516E" w14:textId="77777777">
      <w:pPr>
        <w:pStyle w:val="Lystgitter-fremhvningsfarve31"/>
        <w:ind w:left="0"/>
        <w:rPr>
          <w:rFonts w:ascii="Arial" w:hAnsi="Arial" w:eastAsia="Times New Roman"/>
          <w:sz w:val="22"/>
          <w:szCs w:val="22"/>
        </w:rPr>
      </w:pPr>
      <w:r w:rsidRPr="00E40D04">
        <w:rPr>
          <w:rFonts w:ascii="Arial" w:hAnsi="Arial" w:eastAsia="Times New Roman"/>
          <w:sz w:val="22"/>
          <w:szCs w:val="22"/>
        </w:rPr>
        <w:t>For at få adgang til servicen,</w:t>
      </w:r>
      <w:r>
        <w:rPr>
          <w:rFonts w:ascii="Arial" w:hAnsi="Arial" w:eastAsia="Times New Roman"/>
          <w:sz w:val="22"/>
          <w:szCs w:val="22"/>
        </w:rPr>
        <w:t xml:space="preserve"> </w:t>
      </w:r>
      <w:r w:rsidRPr="00E40D04">
        <w:rPr>
          <w:rFonts w:ascii="Arial" w:hAnsi="Arial" w:eastAsia="Times New Roman"/>
          <w:sz w:val="22"/>
          <w:szCs w:val="22"/>
        </w:rPr>
        <w:t>skal</w:t>
      </w:r>
      <w:r>
        <w:rPr>
          <w:rFonts w:ascii="Arial" w:hAnsi="Arial" w:eastAsia="Times New Roman"/>
          <w:sz w:val="22"/>
          <w:szCs w:val="22"/>
        </w:rPr>
        <w:t xml:space="preserve"> </w:t>
      </w:r>
      <w:r w:rsidRPr="00E40D04">
        <w:rPr>
          <w:rFonts w:ascii="Arial" w:hAnsi="Arial" w:eastAsia="Times New Roman"/>
          <w:sz w:val="22"/>
          <w:szCs w:val="22"/>
        </w:rPr>
        <w:t>anvendersystemet</w:t>
      </w:r>
      <w:r>
        <w:rPr>
          <w:rFonts w:ascii="Arial" w:hAnsi="Arial" w:eastAsia="Times New Roman"/>
          <w:sz w:val="22"/>
          <w:szCs w:val="22"/>
        </w:rPr>
        <w:t xml:space="preserve"> </w:t>
      </w:r>
      <w:r w:rsidRPr="00E40D04">
        <w:rPr>
          <w:rFonts w:ascii="Arial" w:hAnsi="Arial" w:eastAsia="Times New Roman"/>
          <w:sz w:val="22"/>
          <w:szCs w:val="22"/>
        </w:rPr>
        <w:t>kalde</w:t>
      </w:r>
      <w:r>
        <w:rPr>
          <w:rFonts w:ascii="Arial" w:hAnsi="Arial" w:eastAsia="Times New Roman"/>
          <w:sz w:val="22"/>
          <w:szCs w:val="22"/>
        </w:rPr>
        <w:t xml:space="preserve"> </w:t>
      </w:r>
      <w:proofErr w:type="spellStart"/>
      <w:r w:rsidRPr="00E40D04">
        <w:rPr>
          <w:rFonts w:ascii="Arial" w:hAnsi="Arial" w:eastAsia="Times New Roman"/>
          <w:sz w:val="22"/>
          <w:szCs w:val="22"/>
        </w:rPr>
        <w:t>BivWS</w:t>
      </w:r>
      <w:proofErr w:type="spellEnd"/>
      <w:r>
        <w:rPr>
          <w:rFonts w:ascii="Arial" w:hAnsi="Arial" w:eastAsia="Times New Roman"/>
          <w:sz w:val="22"/>
          <w:szCs w:val="22"/>
        </w:rPr>
        <w:t xml:space="preserve"> </w:t>
      </w:r>
      <w:r w:rsidRPr="00E40D04">
        <w:rPr>
          <w:rFonts w:ascii="Arial" w:hAnsi="Arial" w:eastAsia="Times New Roman"/>
          <w:sz w:val="22"/>
          <w:szCs w:val="22"/>
        </w:rPr>
        <w:t>på</w:t>
      </w:r>
      <w:r>
        <w:rPr>
          <w:rFonts w:ascii="Arial" w:hAnsi="Arial" w:eastAsia="Times New Roman"/>
          <w:sz w:val="22"/>
          <w:szCs w:val="22"/>
        </w:rPr>
        <w:t xml:space="preserve"> </w:t>
      </w:r>
      <w:r w:rsidRPr="00E40D04">
        <w:rPr>
          <w:rFonts w:ascii="Arial" w:hAnsi="Arial" w:eastAsia="Times New Roman"/>
          <w:sz w:val="22"/>
          <w:szCs w:val="22"/>
        </w:rPr>
        <w:t>NSP</w:t>
      </w:r>
      <w:r>
        <w:rPr>
          <w:rFonts w:ascii="Arial" w:hAnsi="Arial" w:eastAsia="Times New Roman"/>
          <w:sz w:val="22"/>
          <w:szCs w:val="22"/>
        </w:rPr>
        <w:t xml:space="preserve"> </w:t>
      </w:r>
      <w:r w:rsidRPr="00E40D04">
        <w:rPr>
          <w:rFonts w:ascii="Arial" w:hAnsi="Arial" w:eastAsia="Times New Roman"/>
          <w:sz w:val="22"/>
          <w:szCs w:val="22"/>
        </w:rPr>
        <w:t>via Sundhedsdatanettet</w:t>
      </w:r>
      <w:r>
        <w:rPr>
          <w:rFonts w:ascii="Arial" w:hAnsi="Arial" w:eastAsia="Times New Roman"/>
          <w:sz w:val="22"/>
          <w:szCs w:val="22"/>
        </w:rPr>
        <w:t xml:space="preserve"> </w:t>
      </w:r>
      <w:r w:rsidRPr="00E40D04">
        <w:rPr>
          <w:rFonts w:ascii="Arial" w:hAnsi="Arial" w:eastAsia="Times New Roman"/>
          <w:sz w:val="22"/>
          <w:szCs w:val="22"/>
        </w:rPr>
        <w:t>med</w:t>
      </w:r>
      <w:r>
        <w:rPr>
          <w:rFonts w:ascii="Arial" w:hAnsi="Arial" w:eastAsia="Times New Roman"/>
          <w:sz w:val="22"/>
          <w:szCs w:val="22"/>
        </w:rPr>
        <w:t xml:space="preserve"> </w:t>
      </w:r>
      <w:r w:rsidRPr="00E40D04">
        <w:rPr>
          <w:rFonts w:ascii="Arial" w:hAnsi="Arial" w:eastAsia="Times New Roman"/>
          <w:sz w:val="22"/>
          <w:szCs w:val="22"/>
        </w:rPr>
        <w:t>et</w:t>
      </w:r>
      <w:r>
        <w:rPr>
          <w:rFonts w:ascii="Arial" w:hAnsi="Arial" w:eastAsia="Times New Roman"/>
          <w:sz w:val="22"/>
          <w:szCs w:val="22"/>
        </w:rPr>
        <w:t xml:space="preserve"> </w:t>
      </w:r>
      <w:r w:rsidRPr="00E40D04">
        <w:rPr>
          <w:rFonts w:ascii="Arial" w:hAnsi="Arial" w:eastAsia="Times New Roman"/>
          <w:sz w:val="22"/>
          <w:szCs w:val="22"/>
        </w:rPr>
        <w:t>gyldigt</w:t>
      </w:r>
      <w:r>
        <w:rPr>
          <w:rFonts w:ascii="Arial" w:hAnsi="Arial" w:eastAsia="Times New Roman"/>
          <w:sz w:val="22"/>
          <w:szCs w:val="22"/>
        </w:rPr>
        <w:t xml:space="preserve"> </w:t>
      </w:r>
      <w:r w:rsidRPr="00E40D04">
        <w:rPr>
          <w:rFonts w:ascii="Arial" w:hAnsi="Arial" w:eastAsia="Times New Roman"/>
          <w:sz w:val="22"/>
          <w:szCs w:val="22"/>
        </w:rPr>
        <w:t>certifikat.</w:t>
      </w:r>
    </w:p>
    <w:p w:rsidR="00565398" w:rsidP="00E40D04" w:rsidRDefault="00565398" w14:paraId="23DE523C" w14:textId="77777777">
      <w:pPr>
        <w:pStyle w:val="Lystgitter-fremhvningsfarve31"/>
        <w:ind w:left="0"/>
        <w:rPr>
          <w:rFonts w:ascii="Arial" w:hAnsi="Arial" w:eastAsia="Times New Roman"/>
          <w:sz w:val="22"/>
          <w:szCs w:val="22"/>
        </w:rPr>
      </w:pPr>
    </w:p>
    <w:p w:rsidR="00E40D04" w:rsidP="00E40D04" w:rsidRDefault="00E40D04" w14:paraId="287EF2BE" w14:textId="77777777">
      <w:pPr>
        <w:pStyle w:val="Lystgitter-fremhvningsfarve31"/>
        <w:ind w:left="0"/>
        <w:rPr>
          <w:rFonts w:ascii="Arial" w:hAnsi="Arial" w:eastAsia="Times New Roman"/>
          <w:sz w:val="22"/>
          <w:szCs w:val="22"/>
        </w:rPr>
      </w:pPr>
      <w:r w:rsidRPr="00E40D04">
        <w:rPr>
          <w:rFonts w:ascii="Arial" w:hAnsi="Arial" w:eastAsia="Times New Roman"/>
          <w:sz w:val="22"/>
          <w:szCs w:val="22"/>
        </w:rPr>
        <w:t>For</w:t>
      </w:r>
      <w:r>
        <w:rPr>
          <w:rFonts w:ascii="Arial" w:hAnsi="Arial" w:eastAsia="Times New Roman"/>
          <w:sz w:val="22"/>
          <w:szCs w:val="22"/>
        </w:rPr>
        <w:t xml:space="preserve"> </w:t>
      </w:r>
      <w:r w:rsidRPr="00E40D04">
        <w:rPr>
          <w:rFonts w:ascii="Arial" w:hAnsi="Arial" w:eastAsia="Times New Roman"/>
          <w:sz w:val="22"/>
          <w:szCs w:val="22"/>
        </w:rPr>
        <w:t>at</w:t>
      </w:r>
      <w:r>
        <w:rPr>
          <w:rFonts w:ascii="Arial" w:hAnsi="Arial" w:eastAsia="Times New Roman"/>
          <w:sz w:val="22"/>
          <w:szCs w:val="22"/>
        </w:rPr>
        <w:t xml:space="preserve"> </w:t>
      </w:r>
      <w:r w:rsidRPr="00E40D04">
        <w:rPr>
          <w:rFonts w:ascii="Arial" w:hAnsi="Arial" w:eastAsia="Times New Roman"/>
          <w:sz w:val="22"/>
          <w:szCs w:val="22"/>
        </w:rPr>
        <w:t>få</w:t>
      </w:r>
      <w:r>
        <w:rPr>
          <w:rFonts w:ascii="Arial" w:hAnsi="Arial" w:eastAsia="Times New Roman"/>
          <w:sz w:val="22"/>
          <w:szCs w:val="22"/>
        </w:rPr>
        <w:t xml:space="preserve"> </w:t>
      </w:r>
      <w:r w:rsidRPr="00E40D04">
        <w:rPr>
          <w:rFonts w:ascii="Arial" w:hAnsi="Arial" w:eastAsia="Times New Roman"/>
          <w:sz w:val="22"/>
          <w:szCs w:val="22"/>
        </w:rPr>
        <w:t>adgang</w:t>
      </w:r>
      <w:r>
        <w:rPr>
          <w:rFonts w:ascii="Arial" w:hAnsi="Arial" w:eastAsia="Times New Roman"/>
          <w:sz w:val="22"/>
          <w:szCs w:val="22"/>
        </w:rPr>
        <w:t xml:space="preserve"> </w:t>
      </w:r>
      <w:r w:rsidRPr="00E40D04">
        <w:rPr>
          <w:rFonts w:ascii="Arial" w:hAnsi="Arial" w:eastAsia="Times New Roman"/>
          <w:sz w:val="22"/>
          <w:szCs w:val="22"/>
        </w:rPr>
        <w:t>til</w:t>
      </w:r>
      <w:r>
        <w:rPr>
          <w:rFonts w:ascii="Arial" w:hAnsi="Arial" w:eastAsia="Times New Roman"/>
          <w:sz w:val="22"/>
          <w:szCs w:val="22"/>
        </w:rPr>
        <w:t xml:space="preserve"> </w:t>
      </w:r>
      <w:r w:rsidRPr="00E40D04">
        <w:rPr>
          <w:rFonts w:ascii="Arial" w:hAnsi="Arial" w:eastAsia="Times New Roman"/>
          <w:sz w:val="22"/>
          <w:szCs w:val="22"/>
        </w:rPr>
        <w:t>produktion</w:t>
      </w:r>
      <w:r>
        <w:rPr>
          <w:rFonts w:ascii="Arial" w:hAnsi="Arial" w:eastAsia="Times New Roman"/>
          <w:sz w:val="22"/>
          <w:szCs w:val="22"/>
        </w:rPr>
        <w:t xml:space="preserve"> </w:t>
      </w:r>
      <w:r w:rsidRPr="00E40D04">
        <w:rPr>
          <w:rFonts w:ascii="Arial" w:hAnsi="Arial" w:eastAsia="Times New Roman"/>
          <w:sz w:val="22"/>
          <w:szCs w:val="22"/>
        </w:rPr>
        <w:t>skal</w:t>
      </w:r>
      <w:r>
        <w:rPr>
          <w:rFonts w:ascii="Arial" w:hAnsi="Arial" w:eastAsia="Times New Roman"/>
          <w:sz w:val="22"/>
          <w:szCs w:val="22"/>
        </w:rPr>
        <w:t xml:space="preserve"> </w:t>
      </w:r>
      <w:r w:rsidRPr="00E40D04">
        <w:rPr>
          <w:rFonts w:ascii="Arial" w:hAnsi="Arial" w:eastAsia="Times New Roman"/>
          <w:sz w:val="22"/>
          <w:szCs w:val="22"/>
        </w:rPr>
        <w:t>der</w:t>
      </w:r>
      <w:r>
        <w:rPr>
          <w:rFonts w:ascii="Arial" w:hAnsi="Arial" w:eastAsia="Times New Roman"/>
          <w:sz w:val="22"/>
          <w:szCs w:val="22"/>
        </w:rPr>
        <w:t xml:space="preserve"> </w:t>
      </w:r>
      <w:r w:rsidRPr="00E40D04">
        <w:rPr>
          <w:rFonts w:ascii="Arial" w:hAnsi="Arial" w:eastAsia="Times New Roman"/>
          <w:sz w:val="22"/>
          <w:szCs w:val="22"/>
        </w:rPr>
        <w:t>gennemføres</w:t>
      </w:r>
      <w:r>
        <w:rPr>
          <w:rFonts w:ascii="Arial" w:hAnsi="Arial" w:eastAsia="Times New Roman"/>
          <w:sz w:val="22"/>
          <w:szCs w:val="22"/>
        </w:rPr>
        <w:t xml:space="preserve"> </w:t>
      </w:r>
      <w:r w:rsidRPr="00E40D04">
        <w:rPr>
          <w:rFonts w:ascii="Arial" w:hAnsi="Arial" w:eastAsia="Times New Roman"/>
          <w:sz w:val="22"/>
          <w:szCs w:val="22"/>
        </w:rPr>
        <w:t>en</w:t>
      </w:r>
      <w:r>
        <w:rPr>
          <w:rFonts w:ascii="Arial" w:hAnsi="Arial" w:eastAsia="Times New Roman"/>
          <w:sz w:val="22"/>
          <w:szCs w:val="22"/>
        </w:rPr>
        <w:t xml:space="preserve"> </w:t>
      </w:r>
      <w:r w:rsidRPr="00E40D04">
        <w:rPr>
          <w:rFonts w:ascii="Arial" w:hAnsi="Arial" w:eastAsia="Times New Roman"/>
          <w:sz w:val="22"/>
          <w:szCs w:val="22"/>
        </w:rPr>
        <w:t>certificeringstest</w:t>
      </w:r>
      <w:r>
        <w:rPr>
          <w:rFonts w:ascii="Arial" w:hAnsi="Arial" w:eastAsia="Times New Roman"/>
          <w:sz w:val="22"/>
          <w:szCs w:val="22"/>
        </w:rPr>
        <w:t xml:space="preserve"> </w:t>
      </w:r>
      <w:r w:rsidRPr="00E40D04">
        <w:rPr>
          <w:rFonts w:ascii="Arial" w:hAnsi="Arial" w:eastAsia="Times New Roman"/>
          <w:sz w:val="22"/>
          <w:szCs w:val="22"/>
        </w:rPr>
        <w:t>med Lægemiddelstyrelsen,</w:t>
      </w:r>
      <w:r>
        <w:rPr>
          <w:rFonts w:ascii="Arial" w:hAnsi="Arial" w:eastAsia="Times New Roman"/>
          <w:sz w:val="22"/>
          <w:szCs w:val="22"/>
        </w:rPr>
        <w:t xml:space="preserve"> </w:t>
      </w:r>
      <w:r w:rsidRPr="00E40D04">
        <w:rPr>
          <w:rFonts w:ascii="Arial" w:hAnsi="Arial" w:eastAsia="Times New Roman"/>
          <w:sz w:val="22"/>
          <w:szCs w:val="22"/>
        </w:rPr>
        <w:t>hvor</w:t>
      </w:r>
      <w:r>
        <w:rPr>
          <w:rFonts w:ascii="Arial" w:hAnsi="Arial" w:eastAsia="Times New Roman"/>
          <w:sz w:val="22"/>
          <w:szCs w:val="22"/>
        </w:rPr>
        <w:t xml:space="preserve"> </w:t>
      </w:r>
      <w:r w:rsidRPr="00E40D04">
        <w:rPr>
          <w:rFonts w:ascii="Arial" w:hAnsi="Arial" w:eastAsia="Times New Roman"/>
          <w:sz w:val="22"/>
          <w:szCs w:val="22"/>
        </w:rPr>
        <w:t>såvel</w:t>
      </w:r>
      <w:r>
        <w:rPr>
          <w:rFonts w:ascii="Arial" w:hAnsi="Arial" w:eastAsia="Times New Roman"/>
          <w:sz w:val="22"/>
          <w:szCs w:val="22"/>
        </w:rPr>
        <w:t xml:space="preserve"> </w:t>
      </w:r>
      <w:r w:rsidRPr="00E40D04">
        <w:rPr>
          <w:rFonts w:ascii="Arial" w:hAnsi="Arial" w:eastAsia="Times New Roman"/>
          <w:sz w:val="22"/>
          <w:szCs w:val="22"/>
        </w:rPr>
        <w:t>brugergrænsefladen</w:t>
      </w:r>
      <w:r>
        <w:rPr>
          <w:rFonts w:ascii="Arial" w:hAnsi="Arial" w:eastAsia="Times New Roman"/>
          <w:sz w:val="22"/>
          <w:szCs w:val="22"/>
        </w:rPr>
        <w:t xml:space="preserve"> </w:t>
      </w:r>
      <w:r w:rsidRPr="00E40D04">
        <w:rPr>
          <w:rFonts w:ascii="Arial" w:hAnsi="Arial" w:eastAsia="Times New Roman"/>
          <w:sz w:val="22"/>
          <w:szCs w:val="22"/>
        </w:rPr>
        <w:t>i</w:t>
      </w:r>
      <w:r>
        <w:rPr>
          <w:rFonts w:ascii="Arial" w:hAnsi="Arial" w:eastAsia="Times New Roman"/>
          <w:sz w:val="22"/>
          <w:szCs w:val="22"/>
        </w:rPr>
        <w:t xml:space="preserve"> </w:t>
      </w:r>
      <w:r w:rsidRPr="00E40D04">
        <w:rPr>
          <w:rFonts w:ascii="Arial" w:hAnsi="Arial" w:eastAsia="Times New Roman"/>
          <w:sz w:val="22"/>
          <w:szCs w:val="22"/>
        </w:rPr>
        <w:t>anvendersystemet</w:t>
      </w:r>
      <w:r>
        <w:rPr>
          <w:rFonts w:ascii="Arial" w:hAnsi="Arial" w:eastAsia="Times New Roman"/>
          <w:sz w:val="22"/>
          <w:szCs w:val="22"/>
        </w:rPr>
        <w:t xml:space="preserve"> </w:t>
      </w:r>
      <w:r w:rsidRPr="00E40D04">
        <w:rPr>
          <w:rFonts w:ascii="Arial" w:hAnsi="Arial" w:eastAsia="Times New Roman"/>
          <w:sz w:val="22"/>
          <w:szCs w:val="22"/>
        </w:rPr>
        <w:t xml:space="preserve">samt </w:t>
      </w:r>
      <w:bookmarkStart w:name="_GoBack" w:id="4"/>
      <w:bookmarkEnd w:id="4"/>
      <w:r w:rsidRPr="00E40D04">
        <w:rPr>
          <w:rFonts w:ascii="Arial" w:hAnsi="Arial" w:eastAsia="Times New Roman"/>
          <w:sz w:val="22"/>
          <w:szCs w:val="22"/>
        </w:rPr>
        <w:t>kvaliteten</w:t>
      </w:r>
      <w:r>
        <w:rPr>
          <w:rFonts w:ascii="Arial" w:hAnsi="Arial" w:eastAsia="Times New Roman"/>
          <w:sz w:val="22"/>
          <w:szCs w:val="22"/>
        </w:rPr>
        <w:t xml:space="preserve"> </w:t>
      </w:r>
      <w:r w:rsidRPr="00E40D04">
        <w:rPr>
          <w:rFonts w:ascii="Arial" w:hAnsi="Arial" w:eastAsia="Times New Roman"/>
          <w:sz w:val="22"/>
          <w:szCs w:val="22"/>
        </w:rPr>
        <w:t>af</w:t>
      </w:r>
      <w:r>
        <w:rPr>
          <w:rFonts w:ascii="Arial" w:hAnsi="Arial" w:eastAsia="Times New Roman"/>
          <w:sz w:val="22"/>
          <w:szCs w:val="22"/>
        </w:rPr>
        <w:t xml:space="preserve"> </w:t>
      </w:r>
      <w:r w:rsidRPr="00E40D04">
        <w:rPr>
          <w:rFonts w:ascii="Arial" w:hAnsi="Arial" w:eastAsia="Times New Roman"/>
          <w:sz w:val="22"/>
          <w:szCs w:val="22"/>
        </w:rPr>
        <w:t>det</w:t>
      </w:r>
      <w:r>
        <w:rPr>
          <w:rFonts w:ascii="Arial" w:hAnsi="Arial" w:eastAsia="Times New Roman"/>
          <w:sz w:val="22"/>
          <w:szCs w:val="22"/>
        </w:rPr>
        <w:t xml:space="preserve"> </w:t>
      </w:r>
      <w:r w:rsidRPr="00E40D04">
        <w:rPr>
          <w:rFonts w:ascii="Arial" w:hAnsi="Arial" w:eastAsia="Times New Roman"/>
          <w:sz w:val="22"/>
          <w:szCs w:val="22"/>
        </w:rPr>
        <w:t>indberettede</w:t>
      </w:r>
      <w:r>
        <w:rPr>
          <w:rFonts w:ascii="Arial" w:hAnsi="Arial" w:eastAsia="Times New Roman"/>
          <w:sz w:val="22"/>
          <w:szCs w:val="22"/>
        </w:rPr>
        <w:t xml:space="preserve"> </w:t>
      </w:r>
      <w:r w:rsidRPr="00E40D04">
        <w:rPr>
          <w:rFonts w:ascii="Arial" w:hAnsi="Arial" w:eastAsia="Times New Roman"/>
          <w:sz w:val="22"/>
          <w:szCs w:val="22"/>
        </w:rPr>
        <w:t>vurderes.</w:t>
      </w:r>
      <w:r>
        <w:rPr>
          <w:rFonts w:ascii="Arial" w:hAnsi="Arial" w:eastAsia="Times New Roman"/>
          <w:sz w:val="22"/>
          <w:szCs w:val="22"/>
        </w:rPr>
        <w:t xml:space="preserve"> </w:t>
      </w:r>
      <w:r w:rsidRPr="00E40D04">
        <w:rPr>
          <w:rFonts w:ascii="Arial" w:hAnsi="Arial" w:eastAsia="Times New Roman"/>
          <w:sz w:val="22"/>
          <w:szCs w:val="22"/>
        </w:rPr>
        <w:t>En certificerings-test</w:t>
      </w:r>
      <w:r>
        <w:rPr>
          <w:rFonts w:ascii="Arial" w:hAnsi="Arial" w:eastAsia="Times New Roman"/>
          <w:sz w:val="22"/>
          <w:szCs w:val="22"/>
        </w:rPr>
        <w:t xml:space="preserve"> </w:t>
      </w:r>
      <w:r w:rsidRPr="00E40D04">
        <w:rPr>
          <w:rFonts w:ascii="Arial" w:hAnsi="Arial" w:eastAsia="Times New Roman"/>
          <w:sz w:val="22"/>
          <w:szCs w:val="22"/>
        </w:rPr>
        <w:t>forventes</w:t>
      </w:r>
      <w:r>
        <w:rPr>
          <w:rFonts w:ascii="Arial" w:hAnsi="Arial" w:eastAsia="Times New Roman"/>
          <w:sz w:val="22"/>
          <w:szCs w:val="22"/>
        </w:rPr>
        <w:t xml:space="preserve"> </w:t>
      </w:r>
      <w:r w:rsidRPr="00E40D04">
        <w:rPr>
          <w:rFonts w:ascii="Arial" w:hAnsi="Arial" w:eastAsia="Times New Roman"/>
          <w:sz w:val="22"/>
          <w:szCs w:val="22"/>
        </w:rPr>
        <w:t>at</w:t>
      </w:r>
      <w:r>
        <w:rPr>
          <w:rFonts w:ascii="Arial" w:hAnsi="Arial" w:eastAsia="Times New Roman"/>
          <w:sz w:val="22"/>
          <w:szCs w:val="22"/>
        </w:rPr>
        <w:t xml:space="preserve"> </w:t>
      </w:r>
      <w:r w:rsidRPr="00E40D04">
        <w:rPr>
          <w:rFonts w:ascii="Arial" w:hAnsi="Arial" w:eastAsia="Times New Roman"/>
          <w:sz w:val="22"/>
          <w:szCs w:val="22"/>
        </w:rPr>
        <w:t>vare</w:t>
      </w:r>
      <w:r>
        <w:rPr>
          <w:rFonts w:ascii="Arial" w:hAnsi="Arial" w:eastAsia="Times New Roman"/>
          <w:sz w:val="22"/>
          <w:szCs w:val="22"/>
        </w:rPr>
        <w:t xml:space="preserve"> </w:t>
      </w:r>
      <w:r w:rsidRPr="00E40D04">
        <w:rPr>
          <w:rFonts w:ascii="Arial" w:hAnsi="Arial" w:eastAsia="Times New Roman"/>
          <w:sz w:val="22"/>
          <w:szCs w:val="22"/>
        </w:rPr>
        <w:t>2-3 timer og skal aftales med Lægemiddelstyrelsen. Efter bestået certificeringstest vil der blive åbnet for produktionsadgang</w:t>
      </w:r>
    </w:p>
    <w:p w:rsidR="00E40D04" w:rsidP="00E40D04" w:rsidRDefault="00E40D04" w14:paraId="52E56223" w14:textId="77777777">
      <w:pPr>
        <w:pStyle w:val="Lystgitter-fremhvningsfarve31"/>
        <w:ind w:left="0"/>
        <w:rPr>
          <w:rFonts w:ascii="Arial" w:hAnsi="Arial" w:eastAsia="Times New Roman"/>
          <w:sz w:val="22"/>
          <w:szCs w:val="22"/>
        </w:rPr>
      </w:pPr>
    </w:p>
    <w:p w:rsidR="00E40D04" w:rsidP="74220A13" w:rsidRDefault="559030AF" w14:paraId="3389EF02" w14:textId="3769E1B1">
      <w:pPr>
        <w:pStyle w:val="Lystgitter-fremhvningsfarve31"/>
        <w:ind w:left="0"/>
        <w:rPr>
          <w:rFonts w:ascii="Arial" w:hAnsi="Arial" w:eastAsia="Times New Roman"/>
          <w:sz w:val="22"/>
          <w:szCs w:val="22"/>
        </w:rPr>
      </w:pPr>
      <w:r w:rsidRPr="74220A13">
        <w:rPr>
          <w:rFonts w:ascii="Arial" w:hAnsi="Arial" w:eastAsia="Times New Roman"/>
          <w:sz w:val="22"/>
          <w:szCs w:val="22"/>
        </w:rPr>
        <w:t>Der ligger en række godkendelseskriterier til grund for certificeringen. Godkendelseskriterier, certificeringstests og testscenarier er beskrevet i ”</w:t>
      </w:r>
      <w:proofErr w:type="spellStart"/>
      <w:r w:rsidRPr="74220A13">
        <w:rPr>
          <w:rFonts w:ascii="Arial" w:hAnsi="Arial" w:eastAsia="Times New Roman"/>
          <w:sz w:val="22"/>
          <w:szCs w:val="22"/>
        </w:rPr>
        <w:t>BivWSCertificeringstest</w:t>
      </w:r>
      <w:proofErr w:type="spellEnd"/>
      <w:r w:rsidRPr="74220A13">
        <w:rPr>
          <w:rFonts w:ascii="Arial" w:hAnsi="Arial" w:eastAsia="Times New Roman"/>
          <w:sz w:val="22"/>
          <w:szCs w:val="22"/>
        </w:rPr>
        <w:t xml:space="preserve">” </w:t>
      </w:r>
      <w:r w:rsidRPr="74220A13">
        <w:rPr>
          <w:rFonts w:ascii="Arial" w:hAnsi="Arial" w:eastAsia="Times New Roman"/>
          <w:sz w:val="22"/>
          <w:szCs w:val="22"/>
          <w:highlight w:val="yellow"/>
        </w:rPr>
        <w:t>TODO Indsæt reference</w:t>
      </w:r>
      <w:r w:rsidR="00E40D04">
        <w:br w:type="page"/>
      </w:r>
      <w:bookmarkStart w:name="_Toc98853561" w:id="5"/>
      <w:r w:rsidRPr="74220A13">
        <w:rPr>
          <w:rStyle w:val="Overskrift1Tegn"/>
          <w:rFonts w:eastAsia="MS Mincho"/>
        </w:rPr>
        <w:lastRenderedPageBreak/>
        <w:t>Terminologi</w:t>
      </w:r>
      <w:bookmarkEnd w:id="5"/>
    </w:p>
    <w:p w:rsidR="00E40D04" w:rsidP="00E40D04" w:rsidRDefault="00E40D04" w14:paraId="4297953E" w14:textId="77777777">
      <w:pPr>
        <w:jc w:val="left"/>
      </w:pPr>
      <w:r w:rsidRPr="00630E01">
        <w:t xml:space="preserve">Følgende termer og centrale begreber er relevante i </w:t>
      </w:r>
      <w:r>
        <w:t>kontekst af denne specifikation:</w:t>
      </w:r>
    </w:p>
    <w:p w:rsidRPr="00630E01" w:rsidR="00E40D04" w:rsidP="00E40D04" w:rsidRDefault="00E40D04" w14:paraId="07547A01" w14:textId="77777777">
      <w:pPr>
        <w:jc w:val="left"/>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79"/>
        <w:gridCol w:w="6211"/>
      </w:tblGrid>
      <w:tr w:rsidRPr="00630E01" w:rsidR="00E40D04" w:rsidTr="74220A13" w14:paraId="6121EE8E" w14:textId="77777777">
        <w:tc>
          <w:tcPr>
            <w:tcW w:w="2079" w:type="dxa"/>
            <w:shd w:val="clear" w:color="auto" w:fill="4F81BD"/>
          </w:tcPr>
          <w:p w:rsidRPr="00630E01" w:rsidR="00E40D04" w:rsidP="007175BF" w:rsidRDefault="00E40D04" w14:paraId="188989CA" w14:textId="77777777">
            <w:pPr>
              <w:jc w:val="left"/>
            </w:pPr>
            <w:r w:rsidRPr="00630E01">
              <w:t>Begreb</w:t>
            </w:r>
          </w:p>
        </w:tc>
        <w:tc>
          <w:tcPr>
            <w:tcW w:w="6211" w:type="dxa"/>
            <w:shd w:val="clear" w:color="auto" w:fill="4F81BD"/>
          </w:tcPr>
          <w:p w:rsidRPr="00630E01" w:rsidR="00E40D04" w:rsidP="007175BF" w:rsidRDefault="00E40D04" w14:paraId="0D09122C" w14:textId="77777777">
            <w:pPr>
              <w:jc w:val="left"/>
            </w:pPr>
            <w:r w:rsidRPr="00630E01">
              <w:t>Beskrivelse</w:t>
            </w:r>
          </w:p>
        </w:tc>
      </w:tr>
      <w:tr w:rsidRPr="00630E01" w:rsidR="00E40D04" w:rsidTr="74220A13" w14:paraId="0B03A915" w14:textId="77777777">
        <w:tc>
          <w:tcPr>
            <w:tcW w:w="2079" w:type="dxa"/>
          </w:tcPr>
          <w:p w:rsidRPr="00630E01" w:rsidR="00E40D04" w:rsidP="007175BF" w:rsidRDefault="00E40D04" w14:paraId="42A17C6B" w14:textId="77777777">
            <w:pPr>
              <w:jc w:val="left"/>
            </w:pPr>
            <w:proofErr w:type="spellStart"/>
            <w:r w:rsidRPr="00630E01">
              <w:t>BivWS</w:t>
            </w:r>
            <w:proofErr w:type="spellEnd"/>
          </w:p>
        </w:tc>
        <w:tc>
          <w:tcPr>
            <w:tcW w:w="6211" w:type="dxa"/>
          </w:tcPr>
          <w:p w:rsidRPr="00630E01" w:rsidR="00E40D04" w:rsidP="007175BF" w:rsidRDefault="00E40D04" w14:paraId="37085903" w14:textId="77777777">
            <w:pPr>
              <w:jc w:val="left"/>
            </w:pPr>
            <w:r w:rsidRPr="00630E01">
              <w:t xml:space="preserve">Den </w:t>
            </w:r>
            <w:r>
              <w:t>b</w:t>
            </w:r>
            <w:r w:rsidRPr="00630E01">
              <w:t>ivirkning</w:t>
            </w:r>
            <w:r>
              <w:t>s</w:t>
            </w:r>
            <w:r w:rsidRPr="00630E01">
              <w:t>service, som udvikles under denne specifikation</w:t>
            </w:r>
            <w:r>
              <w:t>.</w:t>
            </w:r>
          </w:p>
        </w:tc>
      </w:tr>
      <w:tr w:rsidRPr="00630E01" w:rsidR="00E40D04" w:rsidTr="74220A13" w14:paraId="72B21DFE" w14:textId="77777777">
        <w:tc>
          <w:tcPr>
            <w:tcW w:w="2079" w:type="dxa"/>
          </w:tcPr>
          <w:p w:rsidRPr="00630E01" w:rsidR="00E40D04" w:rsidP="007175BF" w:rsidRDefault="00E40D04" w14:paraId="192E1589" w14:textId="77777777">
            <w:pPr>
              <w:jc w:val="left"/>
            </w:pPr>
            <w:r w:rsidRPr="00630E01">
              <w:t>DGWS</w:t>
            </w:r>
          </w:p>
        </w:tc>
        <w:tc>
          <w:tcPr>
            <w:tcW w:w="6211" w:type="dxa"/>
          </w:tcPr>
          <w:p w:rsidRPr="00630E01" w:rsidR="00E40D04" w:rsidP="007175BF" w:rsidRDefault="00E40D04" w14:paraId="4E1DA2E6" w14:textId="77777777">
            <w:pPr>
              <w:jc w:val="left"/>
            </w:pPr>
            <w:r w:rsidRPr="00630E01">
              <w:t>Den Gode Webservice. Dansk identitetsba</w:t>
            </w:r>
            <w:r>
              <w:t>seret Web Service profil fra Sundhedsdatastyrelsen.</w:t>
            </w:r>
          </w:p>
        </w:tc>
      </w:tr>
      <w:tr w:rsidRPr="00630E01" w:rsidR="00E40D04" w:rsidTr="74220A13" w14:paraId="3DA8A0CE" w14:textId="77777777">
        <w:tc>
          <w:tcPr>
            <w:tcW w:w="2079" w:type="dxa"/>
          </w:tcPr>
          <w:p w:rsidRPr="00630E01" w:rsidR="00E40D04" w:rsidP="74220A13" w:rsidRDefault="559030AF" w14:paraId="11D10064" w14:textId="31E6D58D">
            <w:pPr>
              <w:jc w:val="left"/>
              <w:rPr>
                <w:highlight w:val="yellow"/>
              </w:rPr>
            </w:pPr>
            <w:r>
              <w:t>E2B(R3)</w:t>
            </w:r>
          </w:p>
        </w:tc>
        <w:tc>
          <w:tcPr>
            <w:tcW w:w="6211" w:type="dxa"/>
          </w:tcPr>
          <w:p w:rsidRPr="00630E01" w:rsidR="00E40D04" w:rsidP="007175BF" w:rsidRDefault="559030AF" w14:paraId="003D69C2" w14:textId="23A15D94">
            <w:pPr>
              <w:jc w:val="left"/>
            </w:pPr>
            <w:r>
              <w:t xml:space="preserve">International XML-specifikation for hvordan </w:t>
            </w:r>
            <w:proofErr w:type="spellStart"/>
            <w:r>
              <w:t>bivirklingsindberetnings</w:t>
            </w:r>
            <w:proofErr w:type="spellEnd"/>
            <w:r>
              <w:t xml:space="preserve"> filer kan beskrives og transporteres.</w:t>
            </w:r>
          </w:p>
        </w:tc>
      </w:tr>
      <w:tr w:rsidRPr="00630E01" w:rsidR="00E40D04" w:rsidTr="74220A13" w14:paraId="2A6428F3" w14:textId="77777777">
        <w:tc>
          <w:tcPr>
            <w:tcW w:w="2079" w:type="dxa"/>
          </w:tcPr>
          <w:p w:rsidRPr="00630E01" w:rsidR="00E40D04" w:rsidP="007175BF" w:rsidRDefault="00325222" w14:paraId="3F58BBE3" w14:textId="77777777">
            <w:pPr>
              <w:jc w:val="left"/>
            </w:pPr>
            <w:r>
              <w:t>DKMA</w:t>
            </w:r>
          </w:p>
        </w:tc>
        <w:tc>
          <w:tcPr>
            <w:tcW w:w="6211" w:type="dxa"/>
          </w:tcPr>
          <w:p w:rsidRPr="00630E01" w:rsidR="00E40D04" w:rsidP="74220A13" w:rsidRDefault="2860659B" w14:paraId="7FB0B096" w14:textId="740D9684">
            <w:pPr>
              <w:jc w:val="left"/>
              <w:rPr>
                <w:lang w:val="en-US"/>
              </w:rPr>
            </w:pPr>
            <w:r w:rsidRPr="74220A13">
              <w:rPr>
                <w:lang w:val="en-US"/>
              </w:rPr>
              <w:t xml:space="preserve">Den </w:t>
            </w:r>
            <w:proofErr w:type="spellStart"/>
            <w:r w:rsidRPr="74220A13">
              <w:rPr>
                <w:lang w:val="en-US"/>
              </w:rPr>
              <w:t>danske</w:t>
            </w:r>
            <w:proofErr w:type="spellEnd"/>
            <w:r w:rsidRPr="74220A13">
              <w:rPr>
                <w:lang w:val="en-US"/>
              </w:rPr>
              <w:t xml:space="preserve"> </w:t>
            </w:r>
            <w:proofErr w:type="spellStart"/>
            <w:r w:rsidRPr="74220A13">
              <w:rPr>
                <w:lang w:val="en-US"/>
              </w:rPr>
              <w:t>Lægemiddelstyrelse</w:t>
            </w:r>
            <w:proofErr w:type="spellEnd"/>
          </w:p>
        </w:tc>
      </w:tr>
      <w:tr w:rsidRPr="00630E01" w:rsidR="00E40D04" w:rsidTr="74220A13" w14:paraId="1D9F5C27" w14:textId="77777777">
        <w:tc>
          <w:tcPr>
            <w:tcW w:w="2079" w:type="dxa"/>
          </w:tcPr>
          <w:p w:rsidRPr="00630E01" w:rsidR="00E40D04" w:rsidP="007175BF" w:rsidRDefault="00E40D04" w14:paraId="02C8D1F5" w14:textId="77777777">
            <w:pPr>
              <w:jc w:val="left"/>
            </w:pPr>
            <w:r w:rsidRPr="00630E01">
              <w:t>NSP</w:t>
            </w:r>
          </w:p>
        </w:tc>
        <w:tc>
          <w:tcPr>
            <w:tcW w:w="6211" w:type="dxa"/>
          </w:tcPr>
          <w:p w:rsidRPr="00630E01" w:rsidR="00E40D04" w:rsidP="007175BF" w:rsidRDefault="00E40D04" w14:paraId="5FBF2F34" w14:textId="77777777">
            <w:pPr>
              <w:jc w:val="left"/>
            </w:pPr>
            <w:r w:rsidRPr="00630E01">
              <w:t>National S</w:t>
            </w:r>
            <w:r>
              <w:t>ervicep</w:t>
            </w:r>
            <w:r w:rsidRPr="00630E01">
              <w:t>latform</w:t>
            </w:r>
            <w:r>
              <w:t>.</w:t>
            </w:r>
          </w:p>
        </w:tc>
      </w:tr>
      <w:tr w:rsidRPr="00630E01" w:rsidR="00E40D04" w:rsidTr="74220A13" w14:paraId="7A1EB3E4" w14:textId="77777777">
        <w:tc>
          <w:tcPr>
            <w:tcW w:w="2079" w:type="dxa"/>
          </w:tcPr>
          <w:p w:rsidRPr="00565398" w:rsidR="00E40D04" w:rsidP="007175BF" w:rsidRDefault="0039649D" w14:paraId="5C2F88ED" w14:textId="77777777">
            <w:pPr>
              <w:jc w:val="left"/>
            </w:pPr>
            <w:r w:rsidRPr="00565398">
              <w:t>Juno</w:t>
            </w:r>
          </w:p>
        </w:tc>
        <w:tc>
          <w:tcPr>
            <w:tcW w:w="6211" w:type="dxa"/>
          </w:tcPr>
          <w:p w:rsidRPr="00565398" w:rsidR="00E40D04" w:rsidP="007175BF" w:rsidRDefault="00565398" w14:paraId="5294C462" w14:textId="77777777">
            <w:pPr>
              <w:jc w:val="left"/>
            </w:pPr>
            <w:r w:rsidRPr="00565398">
              <w:t>Et fællesnordisk system til modtagelse af bivirkningsindberetninger.</w:t>
            </w:r>
          </w:p>
        </w:tc>
      </w:tr>
      <w:tr w:rsidRPr="00630E01" w:rsidR="00E40D04" w:rsidTr="74220A13" w14:paraId="52C3FEBA" w14:textId="77777777">
        <w:tc>
          <w:tcPr>
            <w:tcW w:w="2079" w:type="dxa"/>
          </w:tcPr>
          <w:p w:rsidRPr="00630E01" w:rsidR="00E40D04" w:rsidP="007175BF" w:rsidRDefault="00E40D04" w14:paraId="1769E97D" w14:textId="77777777">
            <w:pPr>
              <w:jc w:val="left"/>
            </w:pPr>
            <w:r w:rsidRPr="00630E01">
              <w:t>SOAP</w:t>
            </w:r>
          </w:p>
        </w:tc>
        <w:tc>
          <w:tcPr>
            <w:tcW w:w="6211" w:type="dxa"/>
          </w:tcPr>
          <w:p w:rsidRPr="00630E01" w:rsidR="00E40D04" w:rsidP="007175BF" w:rsidRDefault="00E40D04" w14:paraId="712C604C" w14:textId="77777777">
            <w:pPr>
              <w:jc w:val="left"/>
            </w:pPr>
            <w:r w:rsidRPr="00630E01">
              <w:t>Specifikation for hvordan webservices kan udvikles.</w:t>
            </w:r>
          </w:p>
        </w:tc>
      </w:tr>
      <w:tr w:rsidRPr="00630E01" w:rsidR="00E40D04" w:rsidTr="74220A13" w14:paraId="6ED726CA" w14:textId="77777777">
        <w:trPr>
          <w:trHeight w:val="296"/>
        </w:trPr>
        <w:tc>
          <w:tcPr>
            <w:tcW w:w="2079" w:type="dxa"/>
          </w:tcPr>
          <w:p w:rsidRPr="00630E01" w:rsidR="00E40D04" w:rsidP="007175BF" w:rsidRDefault="00E40D04" w14:paraId="4979F8E0" w14:textId="77777777">
            <w:pPr>
              <w:jc w:val="left"/>
            </w:pPr>
            <w:r>
              <w:t>Anvendersystem</w:t>
            </w:r>
          </w:p>
        </w:tc>
        <w:tc>
          <w:tcPr>
            <w:tcW w:w="6211" w:type="dxa"/>
          </w:tcPr>
          <w:p w:rsidR="00E40D04" w:rsidP="007175BF" w:rsidRDefault="00E40D04" w14:paraId="53496E16" w14:textId="77777777">
            <w:pPr>
              <w:jc w:val="left"/>
            </w:pPr>
            <w:r>
              <w:t xml:space="preserve">Det system, der benytter </w:t>
            </w:r>
            <w:proofErr w:type="spellStart"/>
            <w:r>
              <w:t>BivWS</w:t>
            </w:r>
            <w:proofErr w:type="spellEnd"/>
            <w:r>
              <w:t xml:space="preserve"> via DGWS på NSP.</w:t>
            </w:r>
          </w:p>
        </w:tc>
      </w:tr>
    </w:tbl>
    <w:p w:rsidRPr="00C61101" w:rsidR="00E40D04" w:rsidP="00E40D04" w:rsidRDefault="00E40D04" w14:paraId="3742276C" w14:textId="77777777">
      <w:pPr>
        <w:pStyle w:val="Overskrift1"/>
        <w:jc w:val="left"/>
      </w:pPr>
      <w:bookmarkStart w:name="_Toc98853562" w:id="6"/>
      <w:r>
        <w:t>Arkitektur</w:t>
      </w:r>
      <w:bookmarkEnd w:id="6"/>
    </w:p>
    <w:p w:rsidR="00E40D04" w:rsidP="00E40D04" w:rsidRDefault="00E40D04" w14:paraId="5746DC3C" w14:textId="29174980">
      <w:pPr>
        <w:jc w:val="left"/>
      </w:pPr>
      <w:r w:rsidRPr="00565398">
        <w:t xml:space="preserve">Løsningen har én direkte brugeraktør, en </w:t>
      </w:r>
      <w:r w:rsidR="006C4D31">
        <w:t>Juno sagsbehandler</w:t>
      </w:r>
      <w:r w:rsidRPr="00565398">
        <w:t xml:space="preserve">, der har til ansvar at </w:t>
      </w:r>
      <w:r w:rsidR="006C4D31">
        <w:t xml:space="preserve">behandle de bivirkninger, der sendes via </w:t>
      </w:r>
      <w:proofErr w:type="spellStart"/>
      <w:r w:rsidR="006C4D31">
        <w:t>BivWS</w:t>
      </w:r>
      <w:proofErr w:type="spellEnd"/>
      <w:r w:rsidR="006C4D31">
        <w:t xml:space="preserve"> til </w:t>
      </w:r>
      <w:r w:rsidRPr="00565398" w:rsidR="00565398">
        <w:t>Juno</w:t>
      </w:r>
      <w:r w:rsidRPr="00565398">
        <w:t>. Desuden</w:t>
      </w:r>
      <w:r>
        <w:t xml:space="preserve"> har systemet en indirekte brugeraktør i de Sundhedsfaglige, der indberetter bivirkninger.</w:t>
      </w:r>
    </w:p>
    <w:p w:rsidR="00E40D04" w:rsidP="00E40D04" w:rsidRDefault="00E40D04" w14:paraId="5043CB0F" w14:textId="77777777">
      <w:pPr>
        <w:jc w:val="left"/>
      </w:pPr>
    </w:p>
    <w:p w:rsidR="00E40D04" w:rsidP="00E40D04" w:rsidRDefault="559030AF" w14:paraId="4F7E0608" w14:textId="4A89AB89">
      <w:pPr>
        <w:jc w:val="left"/>
      </w:pPr>
      <w:r>
        <w:t xml:space="preserve">På systemaktørsiden tilgår anvendersystemer Løsningen gennem </w:t>
      </w:r>
      <w:proofErr w:type="spellStart"/>
      <w:r>
        <w:t>NSP</w:t>
      </w:r>
      <w:r w:rsidR="5390C75B">
        <w:t>’s</w:t>
      </w:r>
      <w:proofErr w:type="spellEnd"/>
      <w:r w:rsidR="5390C75B">
        <w:t xml:space="preserve"> DCC</w:t>
      </w:r>
      <w:r>
        <w:t xml:space="preserve">, hvor snitfladen udstilles </w:t>
      </w:r>
      <w:r w:rsidR="5390C75B">
        <w:t>som DGWS</w:t>
      </w:r>
      <w:r>
        <w:t xml:space="preserve">. NSP </w:t>
      </w:r>
      <w:r w:rsidR="26083A40">
        <w:t xml:space="preserve">viderestiller kaldet til </w:t>
      </w:r>
      <w:proofErr w:type="spellStart"/>
      <w:r w:rsidR="26083A40">
        <w:t>BivWS</w:t>
      </w:r>
      <w:proofErr w:type="spellEnd"/>
      <w:r w:rsidR="26083A40">
        <w:t>, som validerer</w:t>
      </w:r>
      <w:r>
        <w:t xml:space="preserve"> autenticiteten af afsender-systemet</w:t>
      </w:r>
      <w:r w:rsidR="26083A40">
        <w:t xml:space="preserve">. </w:t>
      </w:r>
      <w:proofErr w:type="spellStart"/>
      <w:r>
        <w:t>BivWS</w:t>
      </w:r>
      <w:proofErr w:type="spellEnd"/>
      <w:r>
        <w:t xml:space="preserve"> validerer </w:t>
      </w:r>
      <w:r w:rsidR="26083A40">
        <w:t>herefter de indberettede data og videresender til Juno</w:t>
      </w:r>
      <w:r>
        <w:t xml:space="preserve"> hvis valideringen g</w:t>
      </w:r>
      <w:r w:rsidR="26083A40">
        <w:t>ik</w:t>
      </w:r>
      <w:r>
        <w:t xml:space="preserve"> godt. Hvis valideringen fejler, returneres en fejlbesked direkte via NSP til anvendersystemet.</w:t>
      </w:r>
    </w:p>
    <w:p w:rsidR="0039649D" w:rsidRDefault="0039649D" w14:paraId="07459315" w14:textId="77777777">
      <w:pPr>
        <w:spacing w:after="160" w:line="259" w:lineRule="auto"/>
        <w:jc w:val="left"/>
      </w:pPr>
    </w:p>
    <w:p w:rsidRPr="00344EEB" w:rsidR="00E40D04" w:rsidP="00E40D04" w:rsidRDefault="559030AF" w14:paraId="3F8A17AD" w14:textId="77777777">
      <w:pPr>
        <w:jc w:val="left"/>
      </w:pPr>
      <w:r>
        <w:t>Figuren nedenfor illustrerer det it-kompleks, som webservicen indgår i, samt sammenhængen mellem webservice og anvendere.</w:t>
      </w:r>
    </w:p>
    <w:p w:rsidR="00E40D04" w:rsidP="00E40D04" w:rsidRDefault="00E40D04" w14:paraId="6537F28F" w14:textId="77777777">
      <w:pPr>
        <w:jc w:val="left"/>
      </w:pPr>
    </w:p>
    <w:p w:rsidR="00344EEB" w:rsidP="00E40D04" w:rsidRDefault="006C4D31" w14:paraId="6DFB9E20" w14:textId="3B399406">
      <w:pPr>
        <w:jc w:val="left"/>
      </w:pPr>
      <w:r w:rsidRPr="006C4D31">
        <w:drawing>
          <wp:anchor distT="0" distB="0" distL="114300" distR="114300" simplePos="0" relativeHeight="251660288" behindDoc="0" locked="0" layoutInCell="1" allowOverlap="1" wp14:anchorId="4EF19A48" wp14:editId="2AF0848B">
            <wp:simplePos x="0" y="0"/>
            <wp:positionH relativeFrom="margin">
              <wp:align>left</wp:align>
            </wp:positionH>
            <wp:positionV relativeFrom="paragraph">
              <wp:posOffset>3175</wp:posOffset>
            </wp:positionV>
            <wp:extent cx="5270500" cy="2484755"/>
            <wp:effectExtent l="0" t="0" r="6350" b="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2484755"/>
                    </a:xfrm>
                    <a:prstGeom prst="rect">
                      <a:avLst/>
                    </a:prstGeom>
                  </pic:spPr>
                </pic:pic>
              </a:graphicData>
            </a:graphic>
            <wp14:sizeRelH relativeFrom="page">
              <wp14:pctWidth>0</wp14:pctWidth>
            </wp14:sizeRelH>
            <wp14:sizeRelV relativeFrom="page">
              <wp14:pctHeight>0</wp14:pctHeight>
            </wp14:sizeRelV>
          </wp:anchor>
        </w:drawing>
      </w:r>
    </w:p>
    <w:p w:rsidR="00344EEB" w:rsidP="00E40D04" w:rsidRDefault="00344EEB" w14:paraId="70DF9E56" w14:textId="77777777">
      <w:pPr>
        <w:jc w:val="left"/>
      </w:pPr>
    </w:p>
    <w:p w:rsidR="00344EEB" w:rsidP="00E40D04" w:rsidRDefault="00344EEB" w14:paraId="44E871BC" w14:textId="275A67FB">
      <w:pPr>
        <w:jc w:val="left"/>
      </w:pPr>
    </w:p>
    <w:p w:rsidR="00344EEB" w:rsidP="00E40D04" w:rsidRDefault="00344EEB" w14:paraId="144A5D23" w14:textId="77777777">
      <w:pPr>
        <w:jc w:val="left"/>
      </w:pPr>
    </w:p>
    <w:p w:rsidR="00344EEB" w:rsidP="00E40D04" w:rsidRDefault="00344EEB" w14:paraId="738610EB" w14:textId="6DD61C9C">
      <w:pPr>
        <w:jc w:val="left"/>
      </w:pPr>
    </w:p>
    <w:p w:rsidR="00344EEB" w:rsidP="00E40D04" w:rsidRDefault="00344EEB" w14:paraId="637805D2" w14:textId="77777777">
      <w:pPr>
        <w:jc w:val="left"/>
      </w:pPr>
    </w:p>
    <w:p w:rsidR="00344EEB" w:rsidP="00E40D04" w:rsidRDefault="00344EEB" w14:paraId="463F29E8" w14:textId="593C5E58">
      <w:pPr>
        <w:jc w:val="left"/>
      </w:pPr>
    </w:p>
    <w:p w:rsidR="00344EEB" w:rsidP="00E40D04" w:rsidRDefault="00344EEB" w14:paraId="3B7B4B86" w14:textId="77777777">
      <w:pPr>
        <w:jc w:val="left"/>
      </w:pPr>
    </w:p>
    <w:p w:rsidR="00344EEB" w:rsidP="00E40D04" w:rsidRDefault="00344EEB" w14:paraId="3A0FF5F2" w14:textId="52F3D528">
      <w:pPr>
        <w:jc w:val="left"/>
      </w:pPr>
    </w:p>
    <w:p w:rsidR="00344EEB" w:rsidP="00E40D04" w:rsidRDefault="00344EEB" w14:paraId="5630AD66" w14:textId="77777777">
      <w:pPr>
        <w:jc w:val="left"/>
      </w:pPr>
    </w:p>
    <w:p w:rsidR="00344EEB" w:rsidP="00E40D04" w:rsidRDefault="00344EEB" w14:paraId="61829076" w14:textId="031D75A0">
      <w:pPr>
        <w:jc w:val="left"/>
      </w:pPr>
    </w:p>
    <w:p w:rsidR="00344EEB" w:rsidP="00E40D04" w:rsidRDefault="00344EEB" w14:paraId="2BA226A1" w14:textId="77777777">
      <w:pPr>
        <w:jc w:val="left"/>
      </w:pPr>
    </w:p>
    <w:p w:rsidR="00344EEB" w:rsidP="00E40D04" w:rsidRDefault="00344EEB" w14:paraId="17AD93B2" w14:textId="18758899">
      <w:pPr>
        <w:jc w:val="left"/>
      </w:pPr>
    </w:p>
    <w:p w:rsidR="00344EEB" w:rsidP="00E40D04" w:rsidRDefault="00344EEB" w14:paraId="6B62F1B3" w14:textId="77777777">
      <w:pPr>
        <w:jc w:val="left"/>
      </w:pPr>
    </w:p>
    <w:p w:rsidR="00344EEB" w:rsidP="00E40D04" w:rsidRDefault="00344EEB" w14:paraId="4A581020" w14:textId="2D2CA44F">
      <w:pPr>
        <w:jc w:val="left"/>
      </w:pPr>
    </w:p>
    <w:p w:rsidR="00E40D04" w:rsidP="00E40D04" w:rsidRDefault="00344EEB" w14:paraId="6223A4E9" w14:textId="77777777">
      <w:pPr>
        <w:pStyle w:val="Overskrift1"/>
        <w:jc w:val="left"/>
      </w:pPr>
      <w:bookmarkStart w:name="_Toc98853563" w:id="7"/>
      <w:r>
        <w:lastRenderedPageBreak/>
        <w:t>W</w:t>
      </w:r>
      <w:r w:rsidR="00E40D04">
        <w:t>ebservice snitflade</w:t>
      </w:r>
      <w:bookmarkEnd w:id="7"/>
    </w:p>
    <w:p w:rsidRPr="001C488F" w:rsidR="00E40D04" w:rsidP="00E40D04" w:rsidRDefault="00E40D04" w14:paraId="11842274" w14:textId="77777777">
      <w:pPr>
        <w:jc w:val="left"/>
      </w:pPr>
      <w:r w:rsidRPr="00AF42E2">
        <w:t xml:space="preserve">Webservicen </w:t>
      </w:r>
      <w:r>
        <w:t xml:space="preserve">fra MHRA </w:t>
      </w:r>
      <w:r w:rsidRPr="001C488F">
        <w:t xml:space="preserve">har </w:t>
      </w:r>
      <w:r w:rsidR="0039649D">
        <w:t>2</w:t>
      </w:r>
      <w:r w:rsidRPr="001C488F">
        <w:t xml:space="preserve"> operationer</w:t>
      </w:r>
      <w:r w:rsidR="0039649D">
        <w:t>:</w:t>
      </w:r>
    </w:p>
    <w:p w:rsidRPr="001C488F" w:rsidR="00E40D04" w:rsidP="00E40D04" w:rsidRDefault="00E40D04" w14:paraId="36FEB5B0" w14:textId="77777777">
      <w:pPr>
        <w:jc w:val="left"/>
      </w:pPr>
    </w:p>
    <w:p w:rsidRPr="001C488F" w:rsidR="00E40D04" w:rsidP="00E40D04" w:rsidRDefault="0039649D" w14:paraId="0B2CEFA3" w14:textId="77777777">
      <w:pPr>
        <w:pStyle w:val="Lystgitter-fremhvningsfarve31"/>
        <w:numPr>
          <w:ilvl w:val="0"/>
          <w:numId w:val="2"/>
        </w:numPr>
        <w:rPr>
          <w:rFonts w:ascii="Arial" w:hAnsi="Arial" w:cs="Arial"/>
          <w:sz w:val="22"/>
          <w:szCs w:val="22"/>
        </w:rPr>
      </w:pPr>
      <w:proofErr w:type="spellStart"/>
      <w:r w:rsidRPr="0039649D">
        <w:rPr>
          <w:rFonts w:ascii="Arial" w:hAnsi="Arial" w:cs="Arial"/>
          <w:b/>
          <w:sz w:val="22"/>
          <w:szCs w:val="22"/>
        </w:rPr>
        <w:t>ValidateAdverseDrugReaction</w:t>
      </w:r>
      <w:proofErr w:type="spellEnd"/>
      <w:r w:rsidR="00E40D04">
        <w:rPr>
          <w:rFonts w:ascii="Arial" w:hAnsi="Arial" w:cs="Arial"/>
          <w:sz w:val="22"/>
          <w:szCs w:val="22"/>
        </w:rPr>
        <w:t xml:space="preserve">: </w:t>
      </w:r>
      <w:r w:rsidRPr="001C488F" w:rsidR="00E40D04">
        <w:rPr>
          <w:rFonts w:ascii="Arial" w:hAnsi="Arial" w:cs="Arial"/>
          <w:sz w:val="22"/>
          <w:szCs w:val="22"/>
        </w:rPr>
        <w:t xml:space="preserve">Servicens valideringsregler anvendes på det </w:t>
      </w:r>
      <w:r w:rsidR="00E40D04">
        <w:rPr>
          <w:rFonts w:ascii="Arial" w:hAnsi="Arial" w:cs="Arial"/>
          <w:sz w:val="22"/>
          <w:szCs w:val="22"/>
        </w:rPr>
        <w:t xml:space="preserve">indsendte </w:t>
      </w:r>
      <w:r w:rsidRPr="001C488F" w:rsidR="00E40D04">
        <w:rPr>
          <w:rFonts w:ascii="Arial" w:hAnsi="Arial" w:cs="Arial"/>
          <w:sz w:val="22"/>
          <w:szCs w:val="22"/>
        </w:rPr>
        <w:t xml:space="preserve">XML, men </w:t>
      </w:r>
      <w:r w:rsidRPr="001C488F" w:rsidR="00E40D04">
        <w:rPr>
          <w:rFonts w:ascii="Arial" w:hAnsi="Arial" w:cs="Arial"/>
          <w:sz w:val="22"/>
          <w:szCs w:val="22"/>
          <w:u w:val="single"/>
        </w:rPr>
        <w:t>data lagres ikke og sendes ikke videre</w:t>
      </w:r>
      <w:r w:rsidRPr="001C488F" w:rsidR="00E40D04">
        <w:rPr>
          <w:rFonts w:ascii="Arial" w:hAnsi="Arial" w:cs="Arial"/>
          <w:sz w:val="22"/>
          <w:szCs w:val="22"/>
        </w:rPr>
        <w:t xml:space="preserve"> til </w:t>
      </w:r>
      <w:r>
        <w:rPr>
          <w:rFonts w:ascii="Arial" w:hAnsi="Arial" w:cs="Arial"/>
          <w:sz w:val="22"/>
          <w:szCs w:val="22"/>
        </w:rPr>
        <w:t>Juno</w:t>
      </w:r>
      <w:r w:rsidRPr="001C488F" w:rsidR="00E40D04">
        <w:rPr>
          <w:rFonts w:ascii="Arial" w:hAnsi="Arial" w:cs="Arial"/>
          <w:sz w:val="22"/>
          <w:szCs w:val="22"/>
        </w:rPr>
        <w:t xml:space="preserve"> i denne operation.</w:t>
      </w:r>
    </w:p>
    <w:p w:rsidR="00E40D04" w:rsidP="00E40D04" w:rsidRDefault="00E40D04" w14:paraId="30D7AA69" w14:textId="77777777">
      <w:pPr>
        <w:pStyle w:val="Lystgitter-fremhvningsfarve31"/>
        <w:ind w:left="360"/>
        <w:rPr>
          <w:rFonts w:ascii="Arial" w:hAnsi="Arial" w:cs="Arial"/>
          <w:sz w:val="22"/>
          <w:szCs w:val="22"/>
        </w:rPr>
      </w:pPr>
    </w:p>
    <w:p w:rsidRPr="001C488F" w:rsidR="00E40D04" w:rsidP="00E40D04" w:rsidRDefault="0039649D" w14:paraId="265EFDD3" w14:textId="77777777">
      <w:pPr>
        <w:pStyle w:val="Lystgitter-fremhvningsfarve31"/>
        <w:numPr>
          <w:ilvl w:val="0"/>
          <w:numId w:val="2"/>
        </w:numPr>
        <w:rPr>
          <w:rFonts w:ascii="Arial" w:hAnsi="Arial" w:cs="Arial"/>
          <w:sz w:val="22"/>
          <w:szCs w:val="22"/>
        </w:rPr>
      </w:pPr>
      <w:proofErr w:type="spellStart"/>
      <w:r w:rsidRPr="0039649D">
        <w:rPr>
          <w:rFonts w:ascii="Arial" w:hAnsi="Arial" w:cs="Arial"/>
          <w:b/>
          <w:sz w:val="22"/>
          <w:szCs w:val="22"/>
        </w:rPr>
        <w:t>SubmitAdverseDrugReaction</w:t>
      </w:r>
      <w:proofErr w:type="spellEnd"/>
      <w:r w:rsidR="00E40D04">
        <w:rPr>
          <w:rFonts w:ascii="Arial" w:hAnsi="Arial" w:cs="Arial"/>
          <w:sz w:val="22"/>
          <w:szCs w:val="22"/>
        </w:rPr>
        <w:t xml:space="preserve">: </w:t>
      </w:r>
      <w:r w:rsidRPr="001C488F" w:rsidR="00E40D04">
        <w:rPr>
          <w:rFonts w:ascii="Arial" w:hAnsi="Arial" w:cs="Arial"/>
          <w:sz w:val="22"/>
          <w:szCs w:val="22"/>
        </w:rPr>
        <w:t xml:space="preserve">Det indsendte XML valideres og sendes derpå videre til </w:t>
      </w:r>
      <w:r>
        <w:rPr>
          <w:rFonts w:ascii="Arial" w:hAnsi="Arial" w:cs="Arial"/>
          <w:sz w:val="22"/>
          <w:szCs w:val="22"/>
        </w:rPr>
        <w:t>Juno</w:t>
      </w:r>
      <w:r w:rsidRPr="001C488F" w:rsidR="00E40D04">
        <w:rPr>
          <w:rFonts w:ascii="Arial" w:hAnsi="Arial" w:cs="Arial"/>
          <w:sz w:val="22"/>
          <w:szCs w:val="22"/>
        </w:rPr>
        <w:t>.</w:t>
      </w:r>
    </w:p>
    <w:p w:rsidR="00E40D04" w:rsidP="00E40D04" w:rsidRDefault="00E40D04" w14:paraId="7196D064" w14:textId="77777777">
      <w:pPr>
        <w:jc w:val="left"/>
      </w:pPr>
    </w:p>
    <w:p w:rsidRPr="00323C12" w:rsidR="00E40D04" w:rsidP="00E40D04" w:rsidRDefault="00E40D04" w14:paraId="0491A8AF" w14:textId="77777777">
      <w:pPr>
        <w:jc w:val="left"/>
      </w:pPr>
      <w:r w:rsidRPr="00A309F2">
        <w:t>Begge operationer returnerer et svar med potentielt følgende to værdisæt:</w:t>
      </w:r>
    </w:p>
    <w:p w:rsidRPr="001C488F" w:rsidR="00E40D04" w:rsidP="00E40D04" w:rsidRDefault="00E40D04" w14:paraId="34FF1C98" w14:textId="77777777">
      <w:pPr>
        <w:jc w:val="left"/>
      </w:pPr>
    </w:p>
    <w:p w:rsidRPr="001C488F" w:rsidR="00E40D04" w:rsidP="00E40D04" w:rsidRDefault="00E40D04" w14:paraId="783796FA" w14:textId="77777777">
      <w:pPr>
        <w:pStyle w:val="Lystgitter-fremhvningsfarve31"/>
        <w:numPr>
          <w:ilvl w:val="0"/>
          <w:numId w:val="1"/>
        </w:numPr>
        <w:rPr>
          <w:rFonts w:ascii="Arial" w:hAnsi="Arial" w:cs="Arial"/>
          <w:b/>
          <w:sz w:val="22"/>
          <w:szCs w:val="22"/>
        </w:rPr>
      </w:pPr>
      <w:r w:rsidRPr="001C488F">
        <w:rPr>
          <w:rFonts w:ascii="Arial" w:hAnsi="Arial" w:cs="Arial"/>
          <w:b/>
          <w:sz w:val="22"/>
          <w:szCs w:val="22"/>
        </w:rPr>
        <w:t xml:space="preserve">Succes: </w:t>
      </w:r>
    </w:p>
    <w:p w:rsidR="00E40D04" w:rsidP="00E40D04" w:rsidRDefault="559030AF" w14:paraId="555D5841" w14:textId="45E3DECC">
      <w:pPr>
        <w:ind w:left="360"/>
        <w:jc w:val="left"/>
      </w:pPr>
      <w:r>
        <w:t xml:space="preserve">Dette er en </w:t>
      </w:r>
      <w:proofErr w:type="spellStart"/>
      <w:r>
        <w:t>boolsk</w:t>
      </w:r>
      <w:proofErr w:type="spellEnd"/>
      <w:r>
        <w:t xml:space="preserve"> værdi, der angiver om indberetningen er valid. Hvis en bivirkningsindberetning ikke kan valideres, returneres ”false”, ellers returneres ”true”.</w:t>
      </w:r>
    </w:p>
    <w:p w:rsidRPr="001C488F" w:rsidR="00E40D04" w:rsidP="00E40D04" w:rsidRDefault="00E40D04" w14:paraId="6D072C0D" w14:textId="77777777">
      <w:pPr>
        <w:pStyle w:val="Lystgitter-fremhvningsfarve31"/>
        <w:ind w:left="360"/>
        <w:rPr>
          <w:rFonts w:ascii="Arial" w:hAnsi="Arial" w:cs="Arial"/>
          <w:sz w:val="22"/>
          <w:szCs w:val="22"/>
        </w:rPr>
      </w:pPr>
    </w:p>
    <w:p w:rsidRPr="001C488F" w:rsidR="00E40D04" w:rsidP="00E40D04" w:rsidRDefault="00E40D04" w14:paraId="3C227496" w14:textId="77777777">
      <w:pPr>
        <w:pStyle w:val="Lystgitter-fremhvningsfarve31"/>
        <w:numPr>
          <w:ilvl w:val="0"/>
          <w:numId w:val="1"/>
        </w:numPr>
        <w:rPr>
          <w:rFonts w:ascii="Arial" w:hAnsi="Arial" w:cs="Arial"/>
          <w:b/>
          <w:sz w:val="22"/>
          <w:szCs w:val="22"/>
        </w:rPr>
      </w:pPr>
      <w:r w:rsidRPr="001C488F">
        <w:rPr>
          <w:rFonts w:ascii="Arial" w:hAnsi="Arial" w:cs="Arial"/>
          <w:b/>
          <w:sz w:val="22"/>
          <w:szCs w:val="22"/>
        </w:rPr>
        <w:t>Valideringsfejl</w:t>
      </w:r>
    </w:p>
    <w:p w:rsidR="00E40D04" w:rsidP="74220A13" w:rsidRDefault="559030AF" w14:paraId="48A21919" w14:textId="0E04A758">
      <w:pPr>
        <w:ind w:left="360"/>
        <w:jc w:val="left"/>
      </w:pPr>
      <w:r>
        <w:t xml:space="preserve">Hvis servicen </w:t>
      </w:r>
      <w:r w:rsidR="5390C75B">
        <w:t>fandt fejl i de indberettede data</w:t>
      </w:r>
      <w:r>
        <w:t xml:space="preserve">, returneres en </w:t>
      </w:r>
      <w:r w:rsidR="5390C75B">
        <w:t>fejl</w:t>
      </w:r>
      <w:r>
        <w:t xml:space="preserve">liste </w:t>
      </w:r>
      <w:r w:rsidR="5390C75B">
        <w:t xml:space="preserve">med fejlbeskeder og </w:t>
      </w:r>
      <w:r>
        <w:t>de felter, der fejlede.</w:t>
      </w:r>
    </w:p>
    <w:p w:rsidRPr="00DC1A02" w:rsidR="00E40D04" w:rsidP="00E40D04" w:rsidRDefault="00E40D04" w14:paraId="30297450" w14:textId="10C816DF">
      <w:pPr>
        <w:pStyle w:val="Overskrift2"/>
      </w:pPr>
      <w:r>
        <w:br w:type="page"/>
      </w:r>
    </w:p>
    <w:p w:rsidRPr="00DC1A02" w:rsidR="00E40D04" w:rsidP="00E40D04" w:rsidRDefault="342434A5" w14:paraId="430E2B92" w14:textId="0A751486">
      <w:pPr>
        <w:pStyle w:val="Overskrift2"/>
      </w:pPr>
      <w:r>
        <w:lastRenderedPageBreak/>
        <w:t>Implementeringsguide</w:t>
      </w:r>
    </w:p>
    <w:p w:rsidRPr="00DC1A02" w:rsidR="00E40D04" w:rsidP="342434A5" w:rsidRDefault="342434A5" w14:paraId="5A42F4DE" w14:textId="7B0FB426">
      <w:r w:rsidRPr="342434A5">
        <w:t xml:space="preserve">Lægemiddelstyrelsen har skrevet en vejledning om bivirkningsindberetning via </w:t>
      </w:r>
      <w:proofErr w:type="spellStart"/>
      <w:r w:rsidRPr="342434A5">
        <w:t>BivWS</w:t>
      </w:r>
      <w:proofErr w:type="spellEnd"/>
      <w:r w:rsidRPr="342434A5">
        <w:t>, der indeholder en introduktion til fagområdet, særlige opmærksomhedspunkter under udformning af en brugergrænseflade og lignende</w:t>
      </w:r>
    </w:p>
    <w:p w:rsidRPr="00DC1A02" w:rsidR="00E40D04" w:rsidP="342434A5" w:rsidRDefault="342434A5" w14:paraId="2D4CB12E" w14:textId="75CF8005">
      <w:pPr>
        <w:rPr>
          <w:highlight w:val="yellow"/>
        </w:rPr>
      </w:pPr>
      <w:r w:rsidRPr="342434A5">
        <w:t>Se “</w:t>
      </w:r>
      <w:proofErr w:type="spellStart"/>
      <w:r w:rsidRPr="342434A5">
        <w:t>BivWS</w:t>
      </w:r>
      <w:proofErr w:type="spellEnd"/>
      <w:r w:rsidRPr="342434A5">
        <w:t xml:space="preserve"> Implementeringsguide” </w:t>
      </w:r>
      <w:r w:rsidRPr="342434A5">
        <w:rPr>
          <w:highlight w:val="yellow"/>
        </w:rPr>
        <w:t>TODO indsæt link</w:t>
      </w:r>
    </w:p>
    <w:p w:rsidRPr="00DC1A02" w:rsidR="00E40D04" w:rsidP="00E40D04" w:rsidRDefault="559030AF" w14:paraId="0A632E16" w14:textId="4F9A1CCE">
      <w:pPr>
        <w:pStyle w:val="Overskrift2"/>
      </w:pPr>
      <w:bookmarkStart w:name="_Toc98853564" w:id="8"/>
      <w:r>
        <w:t>WSDL og eksempel XML</w:t>
      </w:r>
      <w:bookmarkEnd w:id="8"/>
    </w:p>
    <w:p w:rsidR="00E40D04" w:rsidP="74220A13" w:rsidRDefault="559030AF" w14:paraId="3017226A" w14:textId="402FDCD4">
      <w:pPr>
        <w:pStyle w:val="Lystgitter-fremhvningsfarve31"/>
        <w:ind w:left="0"/>
        <w:rPr>
          <w:rFonts w:ascii="Arial" w:hAnsi="Arial" w:cs="Arial"/>
          <w:sz w:val="22"/>
          <w:szCs w:val="22"/>
          <w:highlight w:val="yellow"/>
        </w:rPr>
      </w:pPr>
      <w:proofErr w:type="spellStart"/>
      <w:r w:rsidRPr="74220A13">
        <w:rPr>
          <w:rFonts w:ascii="Arial" w:hAnsi="Arial" w:cs="Arial"/>
          <w:sz w:val="22"/>
          <w:szCs w:val="22"/>
        </w:rPr>
        <w:t>BivWS</w:t>
      </w:r>
      <w:proofErr w:type="spellEnd"/>
      <w:r w:rsidRPr="74220A13">
        <w:rPr>
          <w:rFonts w:ascii="Arial" w:hAnsi="Arial" w:cs="Arial"/>
          <w:sz w:val="22"/>
          <w:szCs w:val="22"/>
        </w:rPr>
        <w:t xml:space="preserve"> udstiller én WSDL. Se link til WSDL (test) på nspop.dk: </w:t>
      </w:r>
      <w:hyperlink r:id="rId12">
        <w:r w:rsidRPr="74220A13">
          <w:rPr>
            <w:rStyle w:val="Hyperlink"/>
            <w:rFonts w:ascii="Arial" w:hAnsi="Arial" w:cs="Arial"/>
            <w:sz w:val="22"/>
            <w:szCs w:val="22"/>
          </w:rPr>
          <w:t>https://wsdl.nspop.dk/bivwsp/submissionservice?wsdl</w:t>
        </w:r>
      </w:hyperlink>
      <w:r w:rsidRPr="74220A13" w:rsidR="74220A13">
        <w:rPr>
          <w:rFonts w:ascii="Arial" w:hAnsi="Arial" w:cs="Arial"/>
          <w:sz w:val="22"/>
          <w:szCs w:val="22"/>
        </w:rPr>
        <w:t xml:space="preserve"> </w:t>
      </w:r>
      <w:r w:rsidRPr="74220A13" w:rsidR="74220A13">
        <w:rPr>
          <w:rFonts w:ascii="Arial" w:hAnsi="Arial" w:cs="Arial"/>
          <w:sz w:val="22"/>
          <w:szCs w:val="22"/>
          <w:highlight w:val="yellow"/>
        </w:rPr>
        <w:t xml:space="preserve">TODO opdater til den nye </w:t>
      </w:r>
      <w:proofErr w:type="spellStart"/>
      <w:r w:rsidRPr="74220A13" w:rsidR="74220A13">
        <w:rPr>
          <w:rFonts w:ascii="Arial" w:hAnsi="Arial" w:cs="Arial"/>
          <w:sz w:val="22"/>
          <w:szCs w:val="22"/>
          <w:highlight w:val="yellow"/>
        </w:rPr>
        <w:t>wsdl</w:t>
      </w:r>
      <w:proofErr w:type="spellEnd"/>
      <w:r w:rsidRPr="74220A13" w:rsidR="74220A13">
        <w:rPr>
          <w:rFonts w:ascii="Arial" w:hAnsi="Arial" w:cs="Arial"/>
          <w:sz w:val="22"/>
          <w:szCs w:val="22"/>
          <w:highlight w:val="yellow"/>
        </w:rPr>
        <w:t xml:space="preserve">. </w:t>
      </w:r>
      <w:hyperlink r:id="rId13">
        <w:r w:rsidRPr="74220A13" w:rsidR="74220A13">
          <w:rPr>
            <w:rStyle w:val="Hyperlink"/>
            <w:rFonts w:ascii="Arial" w:hAnsi="Arial" w:cs="Arial"/>
            <w:sz w:val="22"/>
            <w:szCs w:val="22"/>
            <w:highlight w:val="yellow"/>
          </w:rPr>
          <w:t>https://wsdl.nspop.dk/bivws/bivirkningsindberetningwebservice?wsdl</w:t>
        </w:r>
      </w:hyperlink>
      <w:r w:rsidRPr="74220A13" w:rsidR="74220A13">
        <w:rPr>
          <w:rFonts w:ascii="Arial" w:hAnsi="Arial" w:cs="Arial"/>
          <w:sz w:val="22"/>
          <w:szCs w:val="22"/>
          <w:highlight w:val="yellow"/>
        </w:rPr>
        <w:t xml:space="preserve"> eller lign.</w:t>
      </w:r>
    </w:p>
    <w:p w:rsidR="00E40D04" w:rsidP="00E40D04" w:rsidRDefault="74220A13" w14:paraId="6BD18F9B" w14:textId="4DE34CC3">
      <w:pPr>
        <w:pStyle w:val="Lystgitter-fremhvningsfarve31"/>
        <w:ind w:left="0"/>
        <w:rPr>
          <w:rFonts w:ascii="Arial" w:hAnsi="Arial" w:cs="Arial"/>
          <w:sz w:val="22"/>
          <w:szCs w:val="22"/>
        </w:rPr>
      </w:pPr>
      <w:r w:rsidRPr="74220A13">
        <w:rPr>
          <w:rFonts w:ascii="Arial" w:hAnsi="Arial" w:cs="Arial"/>
          <w:sz w:val="22"/>
          <w:szCs w:val="22"/>
        </w:rPr>
        <w:t xml:space="preserve">  </w:t>
      </w:r>
    </w:p>
    <w:p w:rsidR="559030AF" w:rsidP="74220A13" w:rsidRDefault="559030AF" w14:paraId="0C4ADF4C" w14:textId="18FD3E38">
      <w:pPr>
        <w:jc w:val="left"/>
        <w:rPr>
          <w:rFonts w:cs="Arial"/>
        </w:rPr>
      </w:pPr>
      <w:r w:rsidRPr="74220A13">
        <w:rPr>
          <w:rFonts w:cs="Arial"/>
        </w:rPr>
        <w:t xml:space="preserve">Eksempler på </w:t>
      </w:r>
      <w:proofErr w:type="spellStart"/>
      <w:r w:rsidRPr="74220A13">
        <w:rPr>
          <w:rFonts w:cs="Arial"/>
        </w:rPr>
        <w:t>BivWS</w:t>
      </w:r>
      <w:proofErr w:type="spellEnd"/>
      <w:r w:rsidRPr="74220A13">
        <w:rPr>
          <w:rFonts w:cs="Arial"/>
        </w:rPr>
        <w:t xml:space="preserve"> xml </w:t>
      </w:r>
      <w:proofErr w:type="spellStart"/>
      <w:r w:rsidRPr="74220A13">
        <w:rPr>
          <w:rFonts w:cs="Arial"/>
        </w:rPr>
        <w:t>request</w:t>
      </w:r>
      <w:proofErr w:type="spellEnd"/>
      <w:r w:rsidRPr="74220A13">
        <w:rPr>
          <w:rFonts w:cs="Arial"/>
        </w:rPr>
        <w:t xml:space="preserve"> og </w:t>
      </w:r>
      <w:proofErr w:type="spellStart"/>
      <w:r w:rsidRPr="74220A13">
        <w:rPr>
          <w:rFonts w:cs="Arial"/>
        </w:rPr>
        <w:t>respones</w:t>
      </w:r>
      <w:proofErr w:type="spellEnd"/>
      <w:r w:rsidRPr="74220A13">
        <w:rPr>
          <w:rFonts w:cs="Arial"/>
        </w:rPr>
        <w:t xml:space="preserve"> findes i </w:t>
      </w:r>
      <w:r w:rsidRPr="74220A13" w:rsidR="2860659B">
        <w:rPr>
          <w:rFonts w:cs="Arial"/>
        </w:rPr>
        <w:t>dokumentet ”Bivirkningsindberetning Web Service (</w:t>
      </w:r>
      <w:proofErr w:type="spellStart"/>
      <w:r w:rsidRPr="74220A13" w:rsidR="2860659B">
        <w:rPr>
          <w:rFonts w:cs="Arial"/>
        </w:rPr>
        <w:t>BivWS</w:t>
      </w:r>
      <w:proofErr w:type="spellEnd"/>
      <w:r w:rsidRPr="74220A13" w:rsidR="2860659B">
        <w:rPr>
          <w:rFonts w:cs="Arial"/>
        </w:rPr>
        <w:t xml:space="preserve">) Snitfladedokumentation.docx” </w:t>
      </w:r>
      <w:r w:rsidRPr="74220A13" w:rsidR="2860659B">
        <w:rPr>
          <w:rFonts w:cs="Arial"/>
          <w:highlight w:val="yellow"/>
        </w:rPr>
        <w:t>TODO indsæt link</w:t>
      </w:r>
    </w:p>
    <w:p w:rsidRPr="00DC1A02" w:rsidR="00E40D04" w:rsidP="342434A5" w:rsidRDefault="559030AF" w14:paraId="2CF84D41" w14:textId="3D408D0B">
      <w:pPr>
        <w:pStyle w:val="Overskrift2"/>
        <w:rPr>
          <w:bCs/>
          <w:sz w:val="28"/>
          <w:szCs w:val="28"/>
        </w:rPr>
      </w:pPr>
      <w:bookmarkStart w:name="_Toc98853565" w:id="9"/>
      <w:r>
        <w:t>E2B(R3)</w:t>
      </w:r>
      <w:bookmarkEnd w:id="9"/>
    </w:p>
    <w:p w:rsidR="00E40D04" w:rsidP="74220A13" w:rsidRDefault="559030AF" w14:paraId="1F8A0A6B" w14:textId="4387F1BC">
      <w:pPr>
        <w:jc w:val="left"/>
      </w:pPr>
      <w:r>
        <w:t xml:space="preserve">Som input tager begge operationer </w:t>
      </w:r>
      <w:r w:rsidR="03B9A05F">
        <w:t>data, som mappes til en XML-fil</w:t>
      </w:r>
      <w:r>
        <w:t xml:space="preserve">, der overholder den internationale E2B(R3) standard [E2B(R3)]. </w:t>
      </w:r>
    </w:p>
    <w:p w:rsidR="00E40D04" w:rsidP="74220A13" w:rsidRDefault="00E40D04" w14:paraId="4FF742FF" w14:textId="3DAB35A9">
      <w:pPr>
        <w:jc w:val="left"/>
      </w:pPr>
    </w:p>
    <w:p w:rsidR="00E40D04" w:rsidP="00E40D04" w:rsidRDefault="559030AF" w14:paraId="4B3B48E9" w14:textId="77777777">
      <w:pPr>
        <w:jc w:val="left"/>
      </w:pPr>
      <w:r>
        <w:t>De dataelementer</w:t>
      </w:r>
      <w:r w:rsidR="03B9A05F">
        <w:t xml:space="preserve"> for en bivirkning</w:t>
      </w:r>
      <w:r>
        <w:t xml:space="preserve">, som kan sendes via </w:t>
      </w:r>
      <w:proofErr w:type="spellStart"/>
      <w:r>
        <w:t>BivWS</w:t>
      </w:r>
      <w:proofErr w:type="spellEnd"/>
      <w:r w:rsidR="03B9A05F">
        <w:t>,</w:t>
      </w:r>
      <w:r>
        <w:t xml:space="preserve"> er beskrevet i </w:t>
      </w:r>
      <w:r w:rsidR="03B9A05F">
        <w:t>dokumentet ”Bivirkningsindberetning Web Service (</w:t>
      </w:r>
      <w:proofErr w:type="spellStart"/>
      <w:r w:rsidR="03B9A05F">
        <w:t>BivWS</w:t>
      </w:r>
      <w:proofErr w:type="spellEnd"/>
      <w:r w:rsidR="03B9A05F">
        <w:t>) Snitfladedokumentation” som beskriver</w:t>
      </w:r>
      <w:r>
        <w:t>:</w:t>
      </w:r>
    </w:p>
    <w:p w:rsidR="00E40D04" w:rsidP="00E40D04" w:rsidRDefault="00E40D04" w14:paraId="739C95C5" w14:textId="77777777">
      <w:pPr>
        <w:jc w:val="left"/>
      </w:pPr>
    </w:p>
    <w:p w:rsidR="00E40D04" w:rsidP="74220A13" w:rsidRDefault="2860659B" w14:paraId="5D447A27" w14:textId="77777777">
      <w:pPr>
        <w:numPr>
          <w:ilvl w:val="0"/>
          <w:numId w:val="3"/>
        </w:numPr>
        <w:jc w:val="left"/>
        <w:rPr>
          <w:lang w:val="en-US"/>
        </w:rPr>
      </w:pPr>
      <w:r w:rsidRPr="74220A13">
        <w:rPr>
          <w:lang w:val="en-US"/>
        </w:rPr>
        <w:t>E</w:t>
      </w:r>
      <w:r w:rsidRPr="74220A13" w:rsidR="559030AF">
        <w:rPr>
          <w:lang w:val="en-US"/>
        </w:rPr>
        <w:t xml:space="preserve">lement </w:t>
      </w:r>
      <w:proofErr w:type="spellStart"/>
      <w:r w:rsidRPr="74220A13">
        <w:rPr>
          <w:lang w:val="en-US"/>
        </w:rPr>
        <w:t>navn</w:t>
      </w:r>
      <w:proofErr w:type="spellEnd"/>
      <w:r w:rsidRPr="74220A13">
        <w:rPr>
          <w:lang w:val="en-US"/>
        </w:rPr>
        <w:t xml:space="preserve"> </w:t>
      </w:r>
      <w:proofErr w:type="spellStart"/>
      <w:r w:rsidRPr="74220A13">
        <w:rPr>
          <w:lang w:val="en-US"/>
        </w:rPr>
        <w:t>i</w:t>
      </w:r>
      <w:proofErr w:type="spellEnd"/>
      <w:r w:rsidRPr="74220A13">
        <w:rPr>
          <w:lang w:val="en-US"/>
        </w:rPr>
        <w:t xml:space="preserve"> WSDL </w:t>
      </w:r>
      <w:proofErr w:type="spellStart"/>
      <w:r w:rsidRPr="74220A13">
        <w:rPr>
          <w:lang w:val="en-US"/>
        </w:rPr>
        <w:t>snitfladen</w:t>
      </w:r>
      <w:proofErr w:type="spellEnd"/>
    </w:p>
    <w:p w:rsidR="00E40D04" w:rsidP="74220A13" w:rsidRDefault="2860659B" w14:paraId="7A6A10B2" w14:textId="77777777">
      <w:pPr>
        <w:numPr>
          <w:ilvl w:val="0"/>
          <w:numId w:val="3"/>
        </w:numPr>
        <w:jc w:val="left"/>
        <w:rPr>
          <w:lang w:val="en-US"/>
        </w:rPr>
      </w:pPr>
      <w:proofErr w:type="spellStart"/>
      <w:r w:rsidRPr="74220A13">
        <w:rPr>
          <w:lang w:val="en-US"/>
        </w:rPr>
        <w:t>Beskrivelse</w:t>
      </w:r>
      <w:proofErr w:type="spellEnd"/>
    </w:p>
    <w:p w:rsidR="00E40D04" w:rsidP="74220A13" w:rsidRDefault="2860659B" w14:paraId="20C09930" w14:textId="77777777">
      <w:pPr>
        <w:numPr>
          <w:ilvl w:val="0"/>
          <w:numId w:val="3"/>
        </w:numPr>
        <w:jc w:val="left"/>
        <w:rPr>
          <w:lang w:val="en-US"/>
        </w:rPr>
      </w:pPr>
      <w:r w:rsidRPr="74220A13">
        <w:rPr>
          <w:lang w:val="en-US"/>
        </w:rPr>
        <w:t xml:space="preserve">R3 </w:t>
      </w:r>
      <w:proofErr w:type="spellStart"/>
      <w:r w:rsidRPr="74220A13">
        <w:rPr>
          <w:lang w:val="en-US"/>
        </w:rPr>
        <w:t>feltreference</w:t>
      </w:r>
      <w:proofErr w:type="spellEnd"/>
    </w:p>
    <w:p w:rsidR="00E40D04" w:rsidP="74220A13" w:rsidRDefault="2860659B" w14:paraId="358A142E" w14:textId="77777777">
      <w:pPr>
        <w:numPr>
          <w:ilvl w:val="0"/>
          <w:numId w:val="3"/>
        </w:numPr>
        <w:jc w:val="left"/>
        <w:rPr>
          <w:lang w:val="en-US"/>
        </w:rPr>
      </w:pPr>
      <w:r w:rsidRPr="74220A13">
        <w:rPr>
          <w:lang w:val="en-US"/>
        </w:rPr>
        <w:t>Datatype</w:t>
      </w:r>
    </w:p>
    <w:p w:rsidR="00E40D04" w:rsidP="74220A13" w:rsidRDefault="2860659B" w14:paraId="11A8F277" w14:textId="77777777">
      <w:pPr>
        <w:numPr>
          <w:ilvl w:val="0"/>
          <w:numId w:val="3"/>
        </w:numPr>
        <w:jc w:val="left"/>
        <w:rPr>
          <w:lang w:val="en-US"/>
        </w:rPr>
      </w:pPr>
      <w:r w:rsidRPr="74220A13">
        <w:rPr>
          <w:lang w:val="en-US"/>
        </w:rPr>
        <w:t xml:space="preserve">WSDL </w:t>
      </w:r>
      <w:proofErr w:type="spellStart"/>
      <w:r w:rsidRPr="74220A13">
        <w:rPr>
          <w:lang w:val="en-US"/>
        </w:rPr>
        <w:t>valideringer</w:t>
      </w:r>
      <w:proofErr w:type="spellEnd"/>
    </w:p>
    <w:p w:rsidR="00E40D04" w:rsidP="74220A13" w:rsidRDefault="2860659B" w14:paraId="723F03C7" w14:textId="77777777">
      <w:pPr>
        <w:numPr>
          <w:ilvl w:val="0"/>
          <w:numId w:val="3"/>
        </w:numPr>
        <w:jc w:val="left"/>
        <w:rPr>
          <w:lang w:val="en-US"/>
        </w:rPr>
      </w:pPr>
      <w:proofErr w:type="spellStart"/>
      <w:r w:rsidRPr="74220A13">
        <w:rPr>
          <w:lang w:val="en-US"/>
        </w:rPr>
        <w:t>Forslag</w:t>
      </w:r>
      <w:proofErr w:type="spellEnd"/>
      <w:r w:rsidRPr="74220A13">
        <w:rPr>
          <w:lang w:val="en-US"/>
        </w:rPr>
        <w:t xml:space="preserve"> </w:t>
      </w:r>
      <w:proofErr w:type="spellStart"/>
      <w:r w:rsidRPr="74220A13">
        <w:rPr>
          <w:lang w:val="en-US"/>
        </w:rPr>
        <w:t>til</w:t>
      </w:r>
      <w:proofErr w:type="spellEnd"/>
      <w:r w:rsidRPr="74220A13">
        <w:rPr>
          <w:lang w:val="en-US"/>
        </w:rPr>
        <w:t xml:space="preserve"> </w:t>
      </w:r>
      <w:proofErr w:type="spellStart"/>
      <w:r w:rsidRPr="74220A13">
        <w:rPr>
          <w:lang w:val="en-US"/>
        </w:rPr>
        <w:t>dansk</w:t>
      </w:r>
      <w:proofErr w:type="spellEnd"/>
      <w:r w:rsidRPr="74220A13">
        <w:rPr>
          <w:lang w:val="en-US"/>
        </w:rPr>
        <w:t xml:space="preserve"> </w:t>
      </w:r>
      <w:proofErr w:type="spellStart"/>
      <w:r w:rsidRPr="74220A13">
        <w:rPr>
          <w:lang w:val="en-US"/>
        </w:rPr>
        <w:t>feltnavn</w:t>
      </w:r>
      <w:proofErr w:type="spellEnd"/>
      <w:r w:rsidRPr="74220A13">
        <w:rPr>
          <w:lang w:val="en-US"/>
        </w:rPr>
        <w:t xml:space="preserve"> </w:t>
      </w:r>
      <w:proofErr w:type="spellStart"/>
      <w:r w:rsidRPr="74220A13">
        <w:rPr>
          <w:lang w:val="en-US"/>
        </w:rPr>
        <w:t>i</w:t>
      </w:r>
      <w:proofErr w:type="spellEnd"/>
      <w:r w:rsidRPr="74220A13">
        <w:rPr>
          <w:lang w:val="en-US"/>
        </w:rPr>
        <w:t xml:space="preserve"> </w:t>
      </w:r>
      <w:proofErr w:type="spellStart"/>
      <w:r w:rsidRPr="74220A13">
        <w:rPr>
          <w:lang w:val="en-US"/>
        </w:rPr>
        <w:t>brugergrænseflade</w:t>
      </w:r>
      <w:proofErr w:type="spellEnd"/>
    </w:p>
    <w:p w:rsidR="00E40D04" w:rsidP="74220A13" w:rsidRDefault="2860659B" w14:paraId="1A251D55" w14:textId="77777777">
      <w:pPr>
        <w:numPr>
          <w:ilvl w:val="0"/>
          <w:numId w:val="3"/>
        </w:numPr>
        <w:jc w:val="left"/>
        <w:rPr>
          <w:lang w:val="en-US"/>
        </w:rPr>
      </w:pPr>
      <w:proofErr w:type="spellStart"/>
      <w:r w:rsidRPr="74220A13">
        <w:rPr>
          <w:lang w:val="en-US"/>
        </w:rPr>
        <w:t>Forslag</w:t>
      </w:r>
      <w:proofErr w:type="spellEnd"/>
      <w:r w:rsidRPr="74220A13">
        <w:rPr>
          <w:lang w:val="en-US"/>
        </w:rPr>
        <w:t xml:space="preserve"> </w:t>
      </w:r>
      <w:proofErr w:type="spellStart"/>
      <w:r w:rsidRPr="74220A13">
        <w:rPr>
          <w:lang w:val="en-US"/>
        </w:rPr>
        <w:t>til</w:t>
      </w:r>
      <w:proofErr w:type="spellEnd"/>
      <w:r w:rsidRPr="74220A13">
        <w:rPr>
          <w:lang w:val="en-US"/>
        </w:rPr>
        <w:t xml:space="preserve"> </w:t>
      </w:r>
      <w:proofErr w:type="spellStart"/>
      <w:r w:rsidRPr="74220A13">
        <w:rPr>
          <w:lang w:val="en-US"/>
        </w:rPr>
        <w:t>hjælpetekst</w:t>
      </w:r>
      <w:proofErr w:type="spellEnd"/>
      <w:r w:rsidRPr="74220A13">
        <w:rPr>
          <w:lang w:val="en-US"/>
        </w:rPr>
        <w:t xml:space="preserve"> </w:t>
      </w:r>
      <w:proofErr w:type="spellStart"/>
      <w:r w:rsidRPr="74220A13">
        <w:rPr>
          <w:lang w:val="en-US"/>
        </w:rPr>
        <w:t>i</w:t>
      </w:r>
      <w:proofErr w:type="spellEnd"/>
      <w:r w:rsidRPr="74220A13">
        <w:rPr>
          <w:lang w:val="en-US"/>
        </w:rPr>
        <w:t xml:space="preserve"> </w:t>
      </w:r>
      <w:proofErr w:type="spellStart"/>
      <w:r w:rsidRPr="74220A13">
        <w:rPr>
          <w:lang w:val="en-US"/>
        </w:rPr>
        <w:t>brugergrænseflade</w:t>
      </w:r>
      <w:proofErr w:type="spellEnd"/>
    </w:p>
    <w:p w:rsidR="00E40D04" w:rsidP="74220A13" w:rsidRDefault="00E40D04" w14:paraId="5C3C6285" w14:textId="77777777">
      <w:pPr>
        <w:jc w:val="left"/>
        <w:rPr>
          <w:lang w:val="en-US"/>
        </w:rPr>
      </w:pPr>
    </w:p>
    <w:p w:rsidR="00E40D04" w:rsidP="74220A13" w:rsidRDefault="74220A13" w14:paraId="2C79E452" w14:textId="1E3F0F9C">
      <w:pPr>
        <w:jc w:val="left"/>
        <w:rPr>
          <w:rFonts w:cs="Arial"/>
        </w:rPr>
      </w:pPr>
      <w:r w:rsidRPr="74220A13">
        <w:rPr>
          <w:rFonts w:cs="Arial"/>
        </w:rPr>
        <w:t xml:space="preserve">Snitfladen kan findes og downloades her: </w:t>
      </w:r>
      <w:r w:rsidRPr="74220A13" w:rsidR="2860659B">
        <w:rPr>
          <w:rFonts w:cs="Arial"/>
        </w:rPr>
        <w:t>”Bivirkningsindberetning Web Service (</w:t>
      </w:r>
      <w:proofErr w:type="spellStart"/>
      <w:r w:rsidRPr="74220A13" w:rsidR="2860659B">
        <w:rPr>
          <w:rFonts w:cs="Arial"/>
        </w:rPr>
        <w:t>BivWS</w:t>
      </w:r>
      <w:proofErr w:type="spellEnd"/>
      <w:r w:rsidRPr="74220A13" w:rsidR="2860659B">
        <w:rPr>
          <w:rFonts w:cs="Arial"/>
        </w:rPr>
        <w:t xml:space="preserve">) Snitfladedokumentation.docx” </w:t>
      </w:r>
      <w:r w:rsidRPr="74220A13" w:rsidR="2860659B">
        <w:rPr>
          <w:rFonts w:cs="Arial"/>
          <w:highlight w:val="yellow"/>
        </w:rPr>
        <w:t>TODO indsæt link</w:t>
      </w:r>
    </w:p>
    <w:p w:rsidR="00E40D04" w:rsidP="342434A5" w:rsidRDefault="74220A13" w14:paraId="19F2E608" w14:textId="0658559B">
      <w:pPr>
        <w:pStyle w:val="Overskrift2"/>
        <w:rPr>
          <w:bCs/>
          <w:sz w:val="28"/>
          <w:szCs w:val="28"/>
        </w:rPr>
      </w:pPr>
      <w:r>
        <w:t>E2B(R2)</w:t>
      </w:r>
    </w:p>
    <w:p w:rsidR="00E40D04" w:rsidP="74220A13" w:rsidRDefault="559030AF" w14:paraId="0F3CABC7" w14:textId="328475BA">
      <w:pPr>
        <w:jc w:val="left"/>
      </w:pPr>
      <w:r>
        <w:t xml:space="preserve">I en overgangsperiode vil </w:t>
      </w:r>
      <w:r w:rsidR="03B9A05F">
        <w:t xml:space="preserve">det være muligt fortsat at indberette efter den tidligere R2 standard gennem </w:t>
      </w:r>
      <w:hyperlink r:id="rId14">
        <w:r w:rsidRPr="342434A5">
          <w:rPr>
            <w:rStyle w:val="Hyperlink"/>
            <w:rFonts w:cs="Arial"/>
          </w:rPr>
          <w:t>https://wsdl.nspop.dk/bivwsp/submissionservice?wsdl</w:t>
        </w:r>
      </w:hyperlink>
      <w:r w:rsidR="03B9A05F">
        <w:t xml:space="preserve"> der vil i denne periode foretages </w:t>
      </w:r>
      <w:r>
        <w:t xml:space="preserve">automatisk oversættelse fra R2 til R3 i Lægemiddelstyrelsens system. Dokumenter vedrørende den service findes på </w:t>
      </w:r>
      <w:proofErr w:type="spellStart"/>
      <w:r>
        <w:t>NSPop</w:t>
      </w:r>
      <w:proofErr w:type="spellEnd"/>
      <w:r>
        <w:t xml:space="preserve">: </w:t>
      </w:r>
      <w:hyperlink r:id="rId15">
        <w:r w:rsidRPr="342434A5" w:rsidR="342434A5">
          <w:rPr>
            <w:rStyle w:val="Hyperlink"/>
          </w:rPr>
          <w:t>https://www.nspop.dk/display/public/web/Bivirkningsindberetning+%28BivWS%29+-+Leverancebeskrivelse</w:t>
        </w:r>
      </w:hyperlink>
      <w:r>
        <w:t xml:space="preserve"> </w:t>
      </w:r>
    </w:p>
    <w:p w:rsidR="00E40D04" w:rsidP="00E40D04" w:rsidRDefault="00E40D04" w14:paraId="09B8DD3A" w14:textId="77777777">
      <w:pPr>
        <w:pStyle w:val="Overskrift1"/>
        <w:jc w:val="left"/>
      </w:pPr>
      <w:bookmarkStart w:name="_Toc98853566" w:id="10"/>
      <w:r w:rsidRPr="00AF42E2">
        <w:t>I</w:t>
      </w:r>
      <w:r w:rsidRPr="001C488F">
        <w:t xml:space="preserve">ntegrationen til </w:t>
      </w:r>
      <w:proofErr w:type="spellStart"/>
      <w:r w:rsidRPr="001C488F">
        <w:t>BivWS</w:t>
      </w:r>
      <w:proofErr w:type="spellEnd"/>
      <w:r w:rsidRPr="001C488F">
        <w:t xml:space="preserve"> </w:t>
      </w:r>
      <w:r>
        <w:t>på</w:t>
      </w:r>
      <w:r w:rsidRPr="001C488F">
        <w:t xml:space="preserve"> NSP</w:t>
      </w:r>
      <w:bookmarkEnd w:id="10"/>
    </w:p>
    <w:p w:rsidR="00DF5576" w:rsidP="00E40D04" w:rsidRDefault="00E40D04" w14:paraId="2098F616" w14:textId="271F4B34">
      <w:pPr>
        <w:jc w:val="left"/>
      </w:pPr>
      <w:proofErr w:type="spellStart"/>
      <w:r>
        <w:t>BivWS</w:t>
      </w:r>
      <w:proofErr w:type="spellEnd"/>
      <w:r>
        <w:t xml:space="preserve"> udstilles </w:t>
      </w:r>
      <w:r w:rsidR="00325222">
        <w:t xml:space="preserve">via </w:t>
      </w:r>
      <w:r>
        <w:t xml:space="preserve">NSP </w:t>
      </w:r>
      <w:r w:rsidR="00325222">
        <w:t xml:space="preserve">og er baseret på </w:t>
      </w:r>
      <w:r>
        <w:t xml:space="preserve">DGWS. Et anvendersystem danner derfor </w:t>
      </w:r>
      <w:r w:rsidR="00325222">
        <w:t xml:space="preserve">et </w:t>
      </w:r>
      <w:r>
        <w:t xml:space="preserve">DGWS </w:t>
      </w:r>
      <w:r w:rsidR="00325222">
        <w:t xml:space="preserve">SOAP </w:t>
      </w:r>
      <w:proofErr w:type="spellStart"/>
      <w:r w:rsidR="00325222">
        <w:t>request</w:t>
      </w:r>
      <w:proofErr w:type="spellEnd"/>
      <w:r w:rsidR="00325222">
        <w:t xml:space="preserve"> med </w:t>
      </w:r>
      <w:r>
        <w:t xml:space="preserve">bivirkningsindberetningen </w:t>
      </w:r>
      <w:r w:rsidR="00325222">
        <w:t xml:space="preserve">foretager et kald til </w:t>
      </w:r>
      <w:proofErr w:type="spellStart"/>
      <w:r w:rsidR="00325222">
        <w:t>BivWS</w:t>
      </w:r>
      <w:proofErr w:type="spellEnd"/>
      <w:r w:rsidR="00325222">
        <w:t xml:space="preserve"> </w:t>
      </w:r>
      <w:r w:rsidR="00325222">
        <w:lastRenderedPageBreak/>
        <w:t xml:space="preserve">via </w:t>
      </w:r>
      <w:proofErr w:type="spellStart"/>
      <w:r>
        <w:t>NSP</w:t>
      </w:r>
      <w:r w:rsidR="00325222">
        <w:t>’s</w:t>
      </w:r>
      <w:proofErr w:type="spellEnd"/>
      <w:r w:rsidR="00325222">
        <w:t xml:space="preserve"> DCC</w:t>
      </w:r>
      <w:r>
        <w:t>.</w:t>
      </w:r>
      <w:r w:rsidR="00DF5576">
        <w:t xml:space="preserve"> Se </w:t>
      </w:r>
      <w:hyperlink w:history="1" r:id="rId16">
        <w:r w:rsidRPr="00A73D27" w:rsidR="00DF5576">
          <w:rPr>
            <w:rStyle w:val="Hyperlink"/>
          </w:rPr>
          <w:t>https://www.nspop.dk/display/public/web/DCC+-+Guide+til+anvendere</w:t>
        </w:r>
      </w:hyperlink>
      <w:r w:rsidR="00DF5576">
        <w:t xml:space="preserve"> for mere information om kald af </w:t>
      </w:r>
      <w:proofErr w:type="spellStart"/>
      <w:r w:rsidR="00DF5576">
        <w:t>DCC’en</w:t>
      </w:r>
      <w:proofErr w:type="spellEnd"/>
      <w:r w:rsidR="00DF5576">
        <w:t>.</w:t>
      </w:r>
    </w:p>
    <w:p w:rsidR="00DF5576" w:rsidP="00E40D04" w:rsidRDefault="00DF5576" w14:paraId="61290320" w14:textId="77777777">
      <w:pPr>
        <w:jc w:val="left"/>
      </w:pPr>
    </w:p>
    <w:p w:rsidR="00E40D04" w:rsidP="00E40D04" w:rsidRDefault="00E40D04" w14:paraId="38046FE7" w14:textId="2725688F">
      <w:pPr>
        <w:jc w:val="left"/>
      </w:pPr>
      <w:r>
        <w:t xml:space="preserve">Dette afsnit beskriver hvilke metadata, der skal være til stede i DGWS kuverten til </w:t>
      </w:r>
      <w:proofErr w:type="spellStart"/>
      <w:r>
        <w:t>BivWS</w:t>
      </w:r>
      <w:proofErr w:type="spellEnd"/>
      <w:r>
        <w:t>.</w:t>
      </w:r>
    </w:p>
    <w:p w:rsidRPr="00DC1A02" w:rsidR="00E40D04" w:rsidP="00E40D04" w:rsidRDefault="00E40D04" w14:paraId="545FEB61" w14:textId="77777777">
      <w:pPr>
        <w:pStyle w:val="Overskrift2"/>
      </w:pPr>
      <w:bookmarkStart w:name="_Toc181546412" w:id="11"/>
      <w:bookmarkStart w:name="_Toc98853567" w:id="12"/>
      <w:r w:rsidRPr="00DC1A02">
        <w:t>Netværk</w:t>
      </w:r>
      <w:bookmarkEnd w:id="11"/>
      <w:bookmarkEnd w:id="12"/>
    </w:p>
    <w:p w:rsidR="00E40D04" w:rsidP="00E40D04" w:rsidRDefault="00E40D04" w14:paraId="44AFB01E" w14:textId="77777777">
      <w:pPr>
        <w:jc w:val="left"/>
      </w:pPr>
      <w:r>
        <w:t xml:space="preserve">Den Gode Webservice kræver et krypteret transportlag og aftaler mellem de udvekslende parter for at sikre </w:t>
      </w:r>
      <w:proofErr w:type="spellStart"/>
      <w:r>
        <w:t>konfidentialitet</w:t>
      </w:r>
      <w:proofErr w:type="spellEnd"/>
      <w:r>
        <w:t xml:space="preserve"> af data. </w:t>
      </w:r>
      <w:r>
        <w:fldChar w:fldCharType="begin"/>
      </w:r>
      <w:r>
        <w:instrText xml:space="preserve"> DOCPROPERTY  Title  \* MERGEFORMAT </w:instrText>
      </w:r>
      <w:r>
        <w:fldChar w:fldCharType="end"/>
      </w:r>
      <w:proofErr w:type="spellStart"/>
      <w:r>
        <w:t>BivWS</w:t>
      </w:r>
      <w:proofErr w:type="spellEnd"/>
      <w:r>
        <w:t xml:space="preserve"> udstilles på NSP via følgende netværkstyper:</w:t>
      </w:r>
    </w:p>
    <w:p w:rsidR="00E40D04" w:rsidP="00E40D04" w:rsidRDefault="00E40D04" w14:paraId="0AD9C6F4" w14:textId="77777777">
      <w:pPr>
        <w:jc w:val="left"/>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028"/>
        <w:gridCol w:w="2262"/>
      </w:tblGrid>
      <w:tr w:rsidR="00E40D04" w:rsidTr="007175BF" w14:paraId="29A8A239" w14:textId="77777777">
        <w:tc>
          <w:tcPr>
            <w:tcW w:w="7148" w:type="dxa"/>
            <w:shd w:val="clear" w:color="auto" w:fill="E6E6E6"/>
          </w:tcPr>
          <w:p w:rsidRPr="00956641" w:rsidR="00E40D04" w:rsidP="007175BF" w:rsidRDefault="00E40D04" w14:paraId="04622E24" w14:textId="77777777">
            <w:pPr>
              <w:jc w:val="left"/>
              <w:rPr>
                <w:b/>
              </w:rPr>
            </w:pPr>
            <w:r w:rsidRPr="00956641">
              <w:rPr>
                <w:b/>
              </w:rPr>
              <w:t>Netværk</w:t>
            </w:r>
          </w:p>
        </w:tc>
        <w:tc>
          <w:tcPr>
            <w:tcW w:w="2631" w:type="dxa"/>
            <w:shd w:val="clear" w:color="auto" w:fill="E6E6E6"/>
          </w:tcPr>
          <w:p w:rsidRPr="00956641" w:rsidR="00E40D04" w:rsidP="007175BF" w:rsidRDefault="00E40D04" w14:paraId="1E6651C2" w14:textId="77777777">
            <w:pPr>
              <w:jc w:val="left"/>
              <w:rPr>
                <w:b/>
              </w:rPr>
            </w:pPr>
            <w:r w:rsidRPr="00956641">
              <w:rPr>
                <w:b/>
              </w:rPr>
              <w:t>Tilladt?</w:t>
            </w:r>
          </w:p>
        </w:tc>
      </w:tr>
      <w:tr w:rsidR="00E40D04" w:rsidTr="007175BF" w14:paraId="592E8C2C" w14:textId="77777777">
        <w:tc>
          <w:tcPr>
            <w:tcW w:w="7148" w:type="dxa"/>
          </w:tcPr>
          <w:p w:rsidR="00E40D04" w:rsidP="007175BF" w:rsidRDefault="00E40D04" w14:paraId="322D7111" w14:textId="77777777">
            <w:pPr>
              <w:jc w:val="left"/>
            </w:pPr>
            <w:r>
              <w:t>Sundhedsdatanettet (VPN)</w:t>
            </w:r>
          </w:p>
        </w:tc>
        <w:tc>
          <w:tcPr>
            <w:tcW w:w="2631" w:type="dxa"/>
          </w:tcPr>
          <w:p w:rsidRPr="00DF5576" w:rsidR="00E40D04" w:rsidP="007175BF" w:rsidRDefault="00DF5576" w14:paraId="099F79F7" w14:textId="70622F77">
            <w:pPr>
              <w:jc w:val="left"/>
              <w:rPr>
                <w:sz w:val="28"/>
              </w:rPr>
            </w:pPr>
            <w:r w:rsidRPr="00DF5576">
              <w:rPr>
                <w:rFonts w:ascii="Wingdings" w:hAnsi="Wingdings" w:eastAsia="Wingdings" w:cs="Wingdings"/>
                <w:sz w:val="28"/>
              </w:rPr>
              <w:t>þ</w:t>
            </w:r>
          </w:p>
        </w:tc>
      </w:tr>
      <w:tr w:rsidR="00E40D04" w:rsidTr="007175BF" w14:paraId="10619435" w14:textId="77777777">
        <w:tc>
          <w:tcPr>
            <w:tcW w:w="7148" w:type="dxa"/>
          </w:tcPr>
          <w:p w:rsidR="00E40D04" w:rsidP="007175BF" w:rsidRDefault="00E40D04" w14:paraId="424F581F" w14:textId="77777777">
            <w:pPr>
              <w:jc w:val="left"/>
            </w:pPr>
            <w:r>
              <w:t>Andet VPN</w:t>
            </w:r>
          </w:p>
        </w:tc>
        <w:tc>
          <w:tcPr>
            <w:tcW w:w="2631" w:type="dxa"/>
          </w:tcPr>
          <w:p w:rsidRPr="00DF5576" w:rsidR="00E40D04" w:rsidP="007175BF" w:rsidRDefault="00DF5576" w14:paraId="4D8F0F5C" w14:textId="211D98DE">
            <w:pPr>
              <w:jc w:val="left"/>
              <w:rPr>
                <w:sz w:val="28"/>
              </w:rPr>
            </w:pPr>
            <w:r w:rsidRPr="00DF5576">
              <w:rPr>
                <w:rFonts w:ascii="Wingdings" w:hAnsi="Wingdings" w:eastAsia="Wingdings" w:cs="Wingdings"/>
                <w:sz w:val="28"/>
              </w:rPr>
              <w:t>o</w:t>
            </w:r>
          </w:p>
        </w:tc>
      </w:tr>
      <w:tr w:rsidR="00E40D04" w:rsidTr="007175BF" w14:paraId="40195ED7" w14:textId="77777777">
        <w:tc>
          <w:tcPr>
            <w:tcW w:w="7148" w:type="dxa"/>
          </w:tcPr>
          <w:p w:rsidR="00E40D04" w:rsidP="007175BF" w:rsidRDefault="00E40D04" w14:paraId="168679D9" w14:textId="77777777">
            <w:pPr>
              <w:jc w:val="left"/>
            </w:pPr>
            <w:r>
              <w:t>SSL</w:t>
            </w:r>
          </w:p>
        </w:tc>
        <w:tc>
          <w:tcPr>
            <w:tcW w:w="2631" w:type="dxa"/>
          </w:tcPr>
          <w:p w:rsidRPr="00DF5576" w:rsidR="00E40D04" w:rsidP="007175BF" w:rsidRDefault="00DF5576" w14:paraId="713E8F5A" w14:textId="09164BA9">
            <w:pPr>
              <w:jc w:val="left"/>
              <w:rPr>
                <w:sz w:val="28"/>
              </w:rPr>
            </w:pPr>
            <w:r w:rsidRPr="00DF5576">
              <w:rPr>
                <w:rFonts w:ascii="Wingdings" w:hAnsi="Wingdings" w:eastAsia="Wingdings" w:cs="Wingdings"/>
                <w:sz w:val="28"/>
              </w:rPr>
              <w:t>o</w:t>
            </w:r>
          </w:p>
        </w:tc>
      </w:tr>
    </w:tbl>
    <w:p w:rsidRPr="00DC1A02" w:rsidR="00E40D04" w:rsidP="00E40D04" w:rsidRDefault="00E40D04" w14:paraId="03A86AB5" w14:textId="77777777">
      <w:pPr>
        <w:pStyle w:val="Overskrift2"/>
      </w:pPr>
      <w:bookmarkStart w:name="_Toc181546413" w:id="13"/>
      <w:bookmarkStart w:name="_Toc98853568" w:id="14"/>
      <w:r w:rsidRPr="00DC1A02">
        <w:t>Id-kort attributter</w:t>
      </w:r>
      <w:bookmarkEnd w:id="13"/>
      <w:bookmarkEnd w:id="14"/>
    </w:p>
    <w:p w:rsidR="00E40D04" w:rsidP="00E40D04" w:rsidRDefault="00E40D04" w14:paraId="694AA966" w14:textId="77777777">
      <w:pPr>
        <w:jc w:val="left"/>
      </w:pPr>
      <w:r>
        <w:t>Oplysninger om afsenderens identitet lagres i DGWS id-kortet. Hvis afsenderen identificerer en bruger er id-kortet af typen ”USER” og hvis det identificerer et system, af typen ”SYSTEM”.</w:t>
      </w:r>
    </w:p>
    <w:p w:rsidR="00E40D04" w:rsidP="00E40D04" w:rsidRDefault="00E40D04" w14:paraId="4B1F511A" w14:textId="77777777">
      <w:pPr>
        <w:jc w:val="left"/>
      </w:pPr>
    </w:p>
    <w:p w:rsidRPr="00C4080D" w:rsidR="00E40D04" w:rsidP="00E40D04" w:rsidRDefault="00E40D04" w14:paraId="10FC8BB0" w14:textId="77777777">
      <w:pPr>
        <w:jc w:val="left"/>
      </w:pPr>
      <w:r>
        <w:t xml:space="preserve">Id-kortets versionsnummer refererer til den tilhørende </w:t>
      </w:r>
      <w:proofErr w:type="gramStart"/>
      <w:r>
        <w:t>DGWS specifikation</w:t>
      </w:r>
      <w:proofErr w:type="gramEnd"/>
      <w:r>
        <w:t xml:space="preserve"> og autentifikationsniveauet angiver hvilke typer af akkreditiver der er medsendt. På det laveste niveau, ”1” medsendes ingen akkreditiver, mens niveau ”2” tillader brugernavn og password. På niveau ”3” medsendes en digital signatur foretaget med et OCES virksomhedscertifikat (VOCES) og niveau ”4” tillader alene medarbejder OCES signaturer (MOCES).</w:t>
      </w:r>
    </w:p>
    <w:p w:rsidR="00E40D04" w:rsidP="00E40D04" w:rsidRDefault="00E40D04" w14:paraId="65F9C3DC" w14:textId="77777777">
      <w:pPr>
        <w:jc w:val="left"/>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016"/>
        <w:gridCol w:w="2274"/>
      </w:tblGrid>
      <w:tr w:rsidR="00E40D04" w:rsidTr="007175BF" w14:paraId="6A0EC2F8" w14:textId="77777777">
        <w:tc>
          <w:tcPr>
            <w:tcW w:w="7148" w:type="dxa"/>
            <w:shd w:val="clear" w:color="auto" w:fill="E6E6E6"/>
          </w:tcPr>
          <w:p w:rsidRPr="00956641" w:rsidR="00E40D04" w:rsidP="007175BF" w:rsidRDefault="00E40D04" w14:paraId="3E45AA0F" w14:textId="77777777">
            <w:pPr>
              <w:jc w:val="left"/>
              <w:rPr>
                <w:b/>
              </w:rPr>
            </w:pPr>
            <w:r w:rsidRPr="00956641">
              <w:rPr>
                <w:b/>
              </w:rPr>
              <w:t>Id-kort attribut</w:t>
            </w:r>
          </w:p>
        </w:tc>
        <w:tc>
          <w:tcPr>
            <w:tcW w:w="2631" w:type="dxa"/>
            <w:shd w:val="clear" w:color="auto" w:fill="E6E6E6"/>
          </w:tcPr>
          <w:p w:rsidRPr="00956641" w:rsidR="00E40D04" w:rsidP="007175BF" w:rsidRDefault="00E40D04" w14:paraId="6855AEB4" w14:textId="77777777">
            <w:pPr>
              <w:jc w:val="left"/>
              <w:rPr>
                <w:b/>
              </w:rPr>
            </w:pPr>
            <w:r w:rsidRPr="00956641">
              <w:rPr>
                <w:b/>
              </w:rPr>
              <w:t>Værdi</w:t>
            </w:r>
          </w:p>
        </w:tc>
      </w:tr>
      <w:tr w:rsidR="00E40D04" w:rsidTr="007175BF" w14:paraId="0D45AE19" w14:textId="77777777">
        <w:tc>
          <w:tcPr>
            <w:tcW w:w="7148" w:type="dxa"/>
          </w:tcPr>
          <w:p w:rsidR="00E40D04" w:rsidP="007175BF" w:rsidRDefault="00E40D04" w14:paraId="3AB3EEAD" w14:textId="77777777">
            <w:pPr>
              <w:jc w:val="left"/>
            </w:pPr>
            <w:r>
              <w:t>Type</w:t>
            </w:r>
          </w:p>
        </w:tc>
        <w:tc>
          <w:tcPr>
            <w:tcW w:w="2631" w:type="dxa"/>
          </w:tcPr>
          <w:p w:rsidR="00E40D04" w:rsidP="007175BF" w:rsidRDefault="00DF5576" w14:paraId="64EE0479" w14:textId="5A336937">
            <w:pPr>
              <w:jc w:val="left"/>
            </w:pPr>
            <w:r>
              <w:t>SYSTEM</w:t>
            </w:r>
          </w:p>
        </w:tc>
      </w:tr>
      <w:tr w:rsidR="00E40D04" w:rsidTr="007175BF" w14:paraId="0E7FACC0" w14:textId="77777777">
        <w:tc>
          <w:tcPr>
            <w:tcW w:w="7148" w:type="dxa"/>
          </w:tcPr>
          <w:p w:rsidR="00E40D04" w:rsidP="007175BF" w:rsidRDefault="00E40D04" w14:paraId="2AE331A5" w14:textId="77777777">
            <w:pPr>
              <w:jc w:val="left"/>
            </w:pPr>
            <w:r>
              <w:t>Version</w:t>
            </w:r>
          </w:p>
        </w:tc>
        <w:tc>
          <w:tcPr>
            <w:tcW w:w="2631" w:type="dxa"/>
          </w:tcPr>
          <w:p w:rsidR="00E40D04" w:rsidP="007175BF" w:rsidRDefault="00DF5576" w14:paraId="7BF3611A" w14:textId="0F7C6209">
            <w:pPr>
              <w:jc w:val="left"/>
            </w:pPr>
            <w:r>
              <w:t>1.0.1</w:t>
            </w:r>
          </w:p>
        </w:tc>
      </w:tr>
      <w:tr w:rsidR="00E40D04" w:rsidTr="007175BF" w14:paraId="7B53CB49" w14:textId="77777777">
        <w:tc>
          <w:tcPr>
            <w:tcW w:w="7148" w:type="dxa"/>
          </w:tcPr>
          <w:p w:rsidR="00E40D04" w:rsidP="007175BF" w:rsidRDefault="00E40D04" w14:paraId="6628A645" w14:textId="77777777">
            <w:pPr>
              <w:jc w:val="left"/>
            </w:pPr>
            <w:r>
              <w:t>Autentifikationsniveau</w:t>
            </w:r>
          </w:p>
        </w:tc>
        <w:tc>
          <w:tcPr>
            <w:tcW w:w="2631" w:type="dxa"/>
          </w:tcPr>
          <w:p w:rsidR="00E40D04" w:rsidP="007175BF" w:rsidRDefault="00DF5576" w14:paraId="3FFE0991" w14:textId="2FD64554">
            <w:pPr>
              <w:jc w:val="left"/>
            </w:pPr>
            <w:r>
              <w:t xml:space="preserve">3 – </w:t>
            </w:r>
            <w:proofErr w:type="gramStart"/>
            <w:r>
              <w:t>VOCES signatur</w:t>
            </w:r>
            <w:proofErr w:type="gramEnd"/>
          </w:p>
        </w:tc>
      </w:tr>
    </w:tbl>
    <w:p w:rsidRPr="00DC1A02" w:rsidR="00E40D04" w:rsidP="00E40D04" w:rsidRDefault="00E40D04" w14:paraId="1FBA829B" w14:textId="77777777">
      <w:pPr>
        <w:pStyle w:val="Overskrift2"/>
      </w:pPr>
      <w:bookmarkStart w:name="_Toc181546414" w:id="15"/>
      <w:bookmarkStart w:name="_Toc98853569" w:id="16"/>
      <w:r w:rsidRPr="00DC1A02">
        <w:t>Kommunikationsmodel</w:t>
      </w:r>
      <w:bookmarkEnd w:id="15"/>
      <w:bookmarkEnd w:id="16"/>
    </w:p>
    <w:p w:rsidRPr="00C4080D" w:rsidR="00E40D04" w:rsidP="00E40D04" w:rsidRDefault="00E40D04" w14:paraId="5B2FABE5" w14:textId="77777777">
      <w:pPr>
        <w:jc w:val="left"/>
      </w:pPr>
      <w:r>
        <w:t xml:space="preserve">DGWS definerer to overordnede kommunikationsmodeller: Sign On (SO) og Single Sign On (SSO). I et SO scenarium kommunikerer klient og serviceudbyder alene med hinanden, mens </w:t>
      </w:r>
      <w:proofErr w:type="gramStart"/>
      <w:r>
        <w:t>SSO scenariet</w:t>
      </w:r>
      <w:proofErr w:type="gramEnd"/>
      <w:r>
        <w:t xml:space="preserve"> introducerer en betroet tredjepart, Identitetsudbyderen (</w:t>
      </w:r>
      <w:proofErr w:type="spellStart"/>
      <w:r>
        <w:t>IdP</w:t>
      </w:r>
      <w:proofErr w:type="spellEnd"/>
      <w:r>
        <w:t>) til at varetage autentifikationen. Service der kan håndtere SSO siges at indgå i SOSI føderationen.</w:t>
      </w:r>
    </w:p>
    <w:p w:rsidR="00E40D04" w:rsidP="00E40D04" w:rsidRDefault="00E40D04" w14:paraId="5023141B" w14:textId="77777777">
      <w:pPr>
        <w:jc w:val="left"/>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970"/>
        <w:gridCol w:w="2320"/>
      </w:tblGrid>
      <w:tr w:rsidRPr="00956641" w:rsidR="00E40D04" w:rsidTr="007175BF" w14:paraId="79E2AE3A" w14:textId="77777777">
        <w:tc>
          <w:tcPr>
            <w:tcW w:w="7148" w:type="dxa"/>
            <w:shd w:val="clear" w:color="auto" w:fill="E6E6E6"/>
          </w:tcPr>
          <w:p w:rsidRPr="00956641" w:rsidR="00E40D04" w:rsidP="007175BF" w:rsidRDefault="00E40D04" w14:paraId="6782A091" w14:textId="77777777">
            <w:pPr>
              <w:jc w:val="left"/>
              <w:rPr>
                <w:b/>
              </w:rPr>
            </w:pPr>
            <w:r w:rsidRPr="00956641">
              <w:rPr>
                <w:b/>
              </w:rPr>
              <w:t>Id-kort attribut</w:t>
            </w:r>
          </w:p>
        </w:tc>
        <w:tc>
          <w:tcPr>
            <w:tcW w:w="2631" w:type="dxa"/>
            <w:shd w:val="clear" w:color="auto" w:fill="E6E6E6"/>
          </w:tcPr>
          <w:p w:rsidRPr="00956641" w:rsidR="00E40D04" w:rsidP="007175BF" w:rsidRDefault="00E40D04" w14:paraId="1E20E451" w14:textId="77777777">
            <w:pPr>
              <w:jc w:val="left"/>
              <w:rPr>
                <w:b/>
              </w:rPr>
            </w:pPr>
            <w:r w:rsidRPr="00956641">
              <w:rPr>
                <w:b/>
              </w:rPr>
              <w:t>Tilladt?</w:t>
            </w:r>
          </w:p>
        </w:tc>
      </w:tr>
      <w:tr w:rsidR="00E40D04" w:rsidTr="007175BF" w14:paraId="62E54F21" w14:textId="77777777">
        <w:tc>
          <w:tcPr>
            <w:tcW w:w="7148" w:type="dxa"/>
          </w:tcPr>
          <w:p w:rsidR="00E40D04" w:rsidP="007175BF" w:rsidRDefault="00E40D04" w14:paraId="44B34721" w14:textId="77777777">
            <w:pPr>
              <w:jc w:val="left"/>
            </w:pPr>
            <w:r>
              <w:t>Sign On</w:t>
            </w:r>
          </w:p>
        </w:tc>
        <w:tc>
          <w:tcPr>
            <w:tcW w:w="2631" w:type="dxa"/>
          </w:tcPr>
          <w:p w:rsidR="00E40D04" w:rsidP="007175BF" w:rsidRDefault="00DF5576" w14:paraId="7856258D" w14:textId="7B72C721">
            <w:pPr>
              <w:jc w:val="left"/>
            </w:pPr>
            <w:r w:rsidRPr="00DF5576">
              <w:rPr>
                <w:rFonts w:ascii="Wingdings" w:hAnsi="Wingdings" w:eastAsia="Wingdings" w:cs="Wingdings"/>
                <w:sz w:val="28"/>
              </w:rPr>
              <w:t>þ</w:t>
            </w:r>
          </w:p>
        </w:tc>
      </w:tr>
      <w:tr w:rsidR="00E40D04" w:rsidTr="007175BF" w14:paraId="3AF12FD9" w14:textId="77777777">
        <w:tc>
          <w:tcPr>
            <w:tcW w:w="7148" w:type="dxa"/>
          </w:tcPr>
          <w:p w:rsidR="00E40D04" w:rsidP="007175BF" w:rsidRDefault="00E40D04" w14:paraId="3DE2BDD7" w14:textId="77777777">
            <w:pPr>
              <w:jc w:val="left"/>
            </w:pPr>
            <w:r>
              <w:t>Single Sign On</w:t>
            </w:r>
          </w:p>
        </w:tc>
        <w:tc>
          <w:tcPr>
            <w:tcW w:w="2631" w:type="dxa"/>
          </w:tcPr>
          <w:p w:rsidR="00E40D04" w:rsidP="007175BF" w:rsidRDefault="00DF5576" w14:paraId="084C1507" w14:textId="3DC4F02A">
            <w:pPr>
              <w:jc w:val="left"/>
            </w:pPr>
            <w:r w:rsidRPr="00DF5576">
              <w:rPr>
                <w:rFonts w:ascii="Wingdings" w:hAnsi="Wingdings" w:eastAsia="Wingdings" w:cs="Wingdings"/>
                <w:sz w:val="28"/>
              </w:rPr>
              <w:t>þ</w:t>
            </w:r>
          </w:p>
        </w:tc>
      </w:tr>
    </w:tbl>
    <w:p w:rsidRPr="00DC1A02" w:rsidR="00E40D04" w:rsidP="00E40D04" w:rsidRDefault="00E40D04" w14:paraId="16FA0DA5" w14:textId="77777777">
      <w:pPr>
        <w:pStyle w:val="Overskrift2"/>
      </w:pPr>
      <w:bookmarkStart w:name="_Toc181546415" w:id="17"/>
      <w:bookmarkStart w:name="_Toc98853570" w:id="18"/>
      <w:r w:rsidRPr="00DC1A02">
        <w:t>Kuvert attributter</w:t>
      </w:r>
      <w:bookmarkEnd w:id="17"/>
      <w:bookmarkEnd w:id="18"/>
    </w:p>
    <w:p w:rsidR="00E40D04" w:rsidP="00E40D04" w:rsidRDefault="00E40D04" w14:paraId="3DFA6C44" w14:textId="77777777">
      <w:pPr>
        <w:jc w:val="left"/>
      </w:pPr>
      <w:r>
        <w:t xml:space="preserve">I DGWS SOAP kuverters </w:t>
      </w:r>
      <w:proofErr w:type="spellStart"/>
      <w:r>
        <w:t>headere</w:t>
      </w:r>
      <w:proofErr w:type="spellEnd"/>
      <w:r>
        <w:t xml:space="preserve"> findes en række </w:t>
      </w:r>
      <w:proofErr w:type="spellStart"/>
      <w:r>
        <w:t>meta</w:t>
      </w:r>
      <w:proofErr w:type="spellEnd"/>
      <w:r>
        <w:t xml:space="preserve">-oplysninger om de enkelte servicekald, hvoraf nogle udtrykker forventninger til serviceudbyderen. Selvom forventningerne i princippet kan variere fra operation til operation, idet der kan være </w:t>
      </w:r>
      <w:r>
        <w:lastRenderedPageBreak/>
        <w:t>forskel på hvor sensitive data der udveksles, ensretter denne specifikation attributterne på tværs af operationer af hensyn til simpliciteten.</w:t>
      </w:r>
    </w:p>
    <w:p w:rsidR="00E40D04" w:rsidP="00E40D04" w:rsidRDefault="00E40D04" w14:paraId="1F3B1409" w14:textId="77777777">
      <w:pPr>
        <w:jc w:val="left"/>
      </w:pPr>
    </w:p>
    <w:p w:rsidR="00E40D04" w:rsidP="00E40D04" w:rsidRDefault="00E40D04" w14:paraId="6CA6037A" w14:textId="77777777">
      <w:pPr>
        <w:jc w:val="left"/>
      </w:pPr>
      <w:proofErr w:type="spellStart"/>
      <w:r>
        <w:t>BivWS</w:t>
      </w:r>
      <w:proofErr w:type="spellEnd"/>
      <w:r>
        <w:t xml:space="preserve"> definerer, at der maksimalt må gå 24 timer siden brugeren blev autentificeret til et servicekald udføres. Dette ”Timeout” implementeres af serviceudbyderen og kan medsendes i DGWS kuverter som et hint om hvad klienten forventer. </w:t>
      </w:r>
    </w:p>
    <w:p w:rsidR="00E40D04" w:rsidP="00E40D04" w:rsidRDefault="00E40D04" w14:paraId="77A8576A" w14:textId="77777777">
      <w:pPr>
        <w:jc w:val="left"/>
      </w:pPr>
      <w:proofErr w:type="spellStart"/>
      <w:r>
        <w:t>BivWS</w:t>
      </w:r>
      <w:proofErr w:type="spellEnd"/>
      <w:r>
        <w:t xml:space="preserve"> giver ikke mulighed for at anvendersystemet kan få en uafviselig kvittering ligesom kaldet heller ikke kan prioriteres.</w:t>
      </w:r>
    </w:p>
    <w:p w:rsidR="00E40D04" w:rsidP="00E40D04" w:rsidRDefault="00E40D04" w14:paraId="562C75D1" w14:textId="77777777">
      <w:pPr>
        <w:jc w:val="left"/>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009"/>
        <w:gridCol w:w="2281"/>
      </w:tblGrid>
      <w:tr w:rsidRPr="00956641" w:rsidR="00E40D04" w:rsidTr="007175BF" w14:paraId="55083B12" w14:textId="77777777">
        <w:tc>
          <w:tcPr>
            <w:tcW w:w="7148" w:type="dxa"/>
            <w:shd w:val="clear" w:color="auto" w:fill="E6E6E6"/>
          </w:tcPr>
          <w:p w:rsidRPr="00956641" w:rsidR="00E40D04" w:rsidP="007175BF" w:rsidRDefault="00E40D04" w14:paraId="11CD7128" w14:textId="77777777">
            <w:pPr>
              <w:jc w:val="left"/>
              <w:rPr>
                <w:b/>
              </w:rPr>
            </w:pPr>
            <w:r w:rsidRPr="00956641">
              <w:rPr>
                <w:b/>
              </w:rPr>
              <w:t>Kuvert attribut</w:t>
            </w:r>
          </w:p>
        </w:tc>
        <w:tc>
          <w:tcPr>
            <w:tcW w:w="2631" w:type="dxa"/>
            <w:shd w:val="clear" w:color="auto" w:fill="E6E6E6"/>
          </w:tcPr>
          <w:p w:rsidRPr="00956641" w:rsidR="00E40D04" w:rsidP="007175BF" w:rsidRDefault="00E40D04" w14:paraId="50178F32" w14:textId="77777777">
            <w:pPr>
              <w:jc w:val="left"/>
              <w:rPr>
                <w:b/>
              </w:rPr>
            </w:pPr>
            <w:r w:rsidRPr="00956641">
              <w:rPr>
                <w:b/>
              </w:rPr>
              <w:t>Tilladt?</w:t>
            </w:r>
          </w:p>
        </w:tc>
      </w:tr>
      <w:tr w:rsidR="00E40D04" w:rsidTr="007175BF" w14:paraId="22DC6F76" w14:textId="77777777">
        <w:tc>
          <w:tcPr>
            <w:tcW w:w="7148" w:type="dxa"/>
          </w:tcPr>
          <w:p w:rsidR="00E40D04" w:rsidP="007175BF" w:rsidRDefault="00E40D04" w14:paraId="3E4F2086" w14:textId="77777777">
            <w:pPr>
              <w:jc w:val="left"/>
            </w:pPr>
            <w:r>
              <w:t>Timeout</w:t>
            </w:r>
          </w:p>
        </w:tc>
        <w:tc>
          <w:tcPr>
            <w:tcW w:w="2631" w:type="dxa"/>
          </w:tcPr>
          <w:p w:rsidR="00E40D04" w:rsidP="007175BF" w:rsidRDefault="00DF5576" w14:paraId="20270BA8" w14:textId="2ACC00CD">
            <w:pPr>
              <w:jc w:val="left"/>
            </w:pPr>
            <w:r>
              <w:t>24 timer</w:t>
            </w:r>
          </w:p>
        </w:tc>
      </w:tr>
      <w:tr w:rsidR="00E40D04" w:rsidTr="007175BF" w14:paraId="301DB3C4" w14:textId="77777777">
        <w:tc>
          <w:tcPr>
            <w:tcW w:w="7148" w:type="dxa"/>
          </w:tcPr>
          <w:p w:rsidR="00E40D04" w:rsidP="007175BF" w:rsidRDefault="00E40D04" w14:paraId="6B8CA008" w14:textId="77777777">
            <w:pPr>
              <w:jc w:val="left"/>
            </w:pPr>
            <w:r>
              <w:t>Sikkerhedsniveau</w:t>
            </w:r>
          </w:p>
        </w:tc>
        <w:tc>
          <w:tcPr>
            <w:tcW w:w="2631" w:type="dxa"/>
          </w:tcPr>
          <w:p w:rsidR="00E40D04" w:rsidP="007175BF" w:rsidRDefault="00DF5576" w14:paraId="53F3F25E" w14:textId="6D681A5A">
            <w:pPr>
              <w:jc w:val="left"/>
            </w:pPr>
            <w:r>
              <w:t xml:space="preserve">3 – </w:t>
            </w:r>
            <w:proofErr w:type="gramStart"/>
            <w:r>
              <w:t>VOCES signatur</w:t>
            </w:r>
            <w:proofErr w:type="gramEnd"/>
          </w:p>
        </w:tc>
      </w:tr>
      <w:tr w:rsidR="00E40D04" w:rsidTr="007175BF" w14:paraId="5D5BB42D" w14:textId="77777777">
        <w:tc>
          <w:tcPr>
            <w:tcW w:w="7148" w:type="dxa"/>
          </w:tcPr>
          <w:p w:rsidR="00E40D04" w:rsidP="007175BF" w:rsidRDefault="00E40D04" w14:paraId="79A40772" w14:textId="77777777">
            <w:pPr>
              <w:jc w:val="left"/>
            </w:pPr>
            <w:r>
              <w:t>Uafviselig kvittering</w:t>
            </w:r>
          </w:p>
        </w:tc>
        <w:tc>
          <w:tcPr>
            <w:tcW w:w="2631" w:type="dxa"/>
          </w:tcPr>
          <w:p w:rsidR="00E40D04" w:rsidP="007175BF" w:rsidRDefault="00DF5576" w14:paraId="110E982B" w14:textId="6C46D438">
            <w:pPr>
              <w:jc w:val="left"/>
            </w:pPr>
            <w:r>
              <w:t>Nej</w:t>
            </w:r>
          </w:p>
        </w:tc>
      </w:tr>
      <w:tr w:rsidR="00E40D04" w:rsidTr="007175BF" w14:paraId="0728687D" w14:textId="77777777">
        <w:tc>
          <w:tcPr>
            <w:tcW w:w="7148" w:type="dxa"/>
          </w:tcPr>
          <w:p w:rsidR="00E40D04" w:rsidP="007175BF" w:rsidRDefault="00E40D04" w14:paraId="37CAC2CC" w14:textId="77777777">
            <w:pPr>
              <w:jc w:val="left"/>
            </w:pPr>
            <w:r>
              <w:t>Prioritet</w:t>
            </w:r>
          </w:p>
        </w:tc>
        <w:tc>
          <w:tcPr>
            <w:tcW w:w="2631" w:type="dxa"/>
          </w:tcPr>
          <w:p w:rsidR="00E40D04" w:rsidP="007175BF" w:rsidRDefault="00DF5576" w14:paraId="23E6613C" w14:textId="4E160801">
            <w:pPr>
              <w:jc w:val="left"/>
            </w:pPr>
            <w:r>
              <w:t>RUTINE</w:t>
            </w:r>
          </w:p>
        </w:tc>
      </w:tr>
    </w:tbl>
    <w:p w:rsidRPr="00DC1A02" w:rsidR="00E40D04" w:rsidP="00E40D04" w:rsidRDefault="00E40D04" w14:paraId="3DB5A434" w14:textId="77777777">
      <w:pPr>
        <w:pStyle w:val="Overskrift2"/>
      </w:pPr>
      <w:bookmarkStart w:name="_Toc181546416" w:id="19"/>
      <w:bookmarkStart w:name="_Toc98853571" w:id="20"/>
      <w:r w:rsidRPr="00DC1A02">
        <w:t>Logning</w:t>
      </w:r>
      <w:bookmarkEnd w:id="19"/>
      <w:bookmarkEnd w:id="20"/>
      <w:r w:rsidRPr="00DC1A02">
        <w:t xml:space="preserve"> </w:t>
      </w:r>
    </w:p>
    <w:p w:rsidRPr="00C4080D" w:rsidR="00E40D04" w:rsidP="00E40D04" w:rsidRDefault="00E40D04" w14:paraId="48975A20" w14:textId="77777777">
      <w:pPr>
        <w:jc w:val="left"/>
      </w:pPr>
      <w:r>
        <w:t xml:space="preserve">Persondataloven [PERSLOV] </w:t>
      </w:r>
      <w:r w:rsidRPr="00C4080D">
        <w:t xml:space="preserve">og Sundhedsloven </w:t>
      </w:r>
      <w:r>
        <w:t xml:space="preserve">[SUNDLOV] </w:t>
      </w:r>
      <w:r w:rsidRPr="00C4080D">
        <w:t>udstikker retningslinjer for</w:t>
      </w:r>
      <w:r>
        <w:t>,</w:t>
      </w:r>
      <w:r w:rsidRPr="00C4080D">
        <w:t xml:space="preserve"> hvornår det </w:t>
      </w:r>
      <w:r>
        <w:t xml:space="preserve">er </w:t>
      </w:r>
      <w:r w:rsidRPr="00C4080D">
        <w:t>påkrævet at logge</w:t>
      </w:r>
      <w:r>
        <w:t>,</w:t>
      </w:r>
      <w:r w:rsidRPr="00C4080D">
        <w:t xml:space="preserve"> hvem der har haft adgang til data. Dette fortolkes i bredeste forstand som at have set eller opdateret personfølsom information om en anden person.</w:t>
      </w:r>
    </w:p>
    <w:p w:rsidRPr="00C4080D" w:rsidR="00E40D04" w:rsidP="00E40D04" w:rsidRDefault="00E40D04" w14:paraId="664355AD" w14:textId="77777777">
      <w:pPr>
        <w:jc w:val="left"/>
      </w:pPr>
    </w:p>
    <w:p w:rsidRPr="00C4080D" w:rsidR="00E40D04" w:rsidP="00E40D04" w:rsidRDefault="00E40D04" w14:paraId="475A9C8A" w14:textId="77777777">
      <w:pPr>
        <w:jc w:val="left"/>
      </w:pPr>
      <w:r>
        <w:t>Logning udføres af bå</w:t>
      </w:r>
      <w:r w:rsidRPr="00C4080D">
        <w:t>de klient og serviceudbyder.</w:t>
      </w:r>
    </w:p>
    <w:p w:rsidRPr="00C4080D" w:rsidR="00E40D04" w:rsidP="00E40D04" w:rsidRDefault="00E40D04" w14:paraId="1A965116" w14:textId="77777777">
      <w:pPr>
        <w:jc w:val="left"/>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951"/>
        <w:gridCol w:w="2339"/>
      </w:tblGrid>
      <w:tr w:rsidRPr="00956641" w:rsidR="00E40D04" w:rsidTr="007175BF" w14:paraId="4ED36111" w14:textId="77777777">
        <w:tc>
          <w:tcPr>
            <w:tcW w:w="7148" w:type="dxa"/>
            <w:shd w:val="clear" w:color="auto" w:fill="E6E6E6"/>
          </w:tcPr>
          <w:p w:rsidRPr="00956641" w:rsidR="00E40D04" w:rsidP="007175BF" w:rsidRDefault="00E40D04" w14:paraId="04109275" w14:textId="77777777">
            <w:pPr>
              <w:jc w:val="left"/>
              <w:rPr>
                <w:b/>
              </w:rPr>
            </w:pPr>
            <w:r w:rsidRPr="00956641">
              <w:rPr>
                <w:b/>
              </w:rPr>
              <w:t>Kontrol</w:t>
            </w:r>
          </w:p>
        </w:tc>
        <w:tc>
          <w:tcPr>
            <w:tcW w:w="2631" w:type="dxa"/>
            <w:shd w:val="clear" w:color="auto" w:fill="E6E6E6"/>
          </w:tcPr>
          <w:p w:rsidRPr="00956641" w:rsidR="00E40D04" w:rsidP="007175BF" w:rsidRDefault="00E40D04" w14:paraId="216C94F9" w14:textId="77777777">
            <w:pPr>
              <w:jc w:val="left"/>
              <w:rPr>
                <w:b/>
              </w:rPr>
            </w:pPr>
            <w:r w:rsidRPr="00956641">
              <w:rPr>
                <w:b/>
              </w:rPr>
              <w:t>Påkrævet?</w:t>
            </w:r>
          </w:p>
        </w:tc>
      </w:tr>
      <w:tr w:rsidR="00E40D04" w:rsidTr="007175BF" w14:paraId="499539CC" w14:textId="77777777">
        <w:tc>
          <w:tcPr>
            <w:tcW w:w="7148" w:type="dxa"/>
          </w:tcPr>
          <w:p w:rsidR="00E40D04" w:rsidP="007175BF" w:rsidRDefault="00E40D04" w14:paraId="2F6CF2BC" w14:textId="77777777">
            <w:pPr>
              <w:jc w:val="left"/>
            </w:pPr>
            <w:r>
              <w:t>Logning af adgang til personfølsomme data påkrævet?</w:t>
            </w:r>
          </w:p>
        </w:tc>
        <w:tc>
          <w:tcPr>
            <w:tcW w:w="2631" w:type="dxa"/>
          </w:tcPr>
          <w:p w:rsidR="00E40D04" w:rsidP="007175BF" w:rsidRDefault="00DF5576" w14:paraId="3FB062CE" w14:textId="4168B410">
            <w:pPr>
              <w:jc w:val="left"/>
            </w:pPr>
            <w:r>
              <w:t>Nej</w:t>
            </w:r>
          </w:p>
        </w:tc>
      </w:tr>
    </w:tbl>
    <w:p w:rsidR="00E40D04" w:rsidP="00E40D04" w:rsidRDefault="00E40D04" w14:paraId="7DF4E37C" w14:textId="77777777">
      <w:pPr>
        <w:jc w:val="left"/>
      </w:pPr>
    </w:p>
    <w:p w:rsidR="00E40D04" w:rsidP="00E40D04" w:rsidRDefault="00E40D04" w14:paraId="6043CCF7" w14:textId="77777777">
      <w:pPr>
        <w:pStyle w:val="Overskrift1"/>
        <w:jc w:val="left"/>
      </w:pPr>
      <w:r>
        <w:br w:type="page"/>
      </w:r>
      <w:bookmarkStart w:name="_Toc98853572" w:id="21"/>
      <w:r>
        <w:lastRenderedPageBreak/>
        <w:t>Referencer</w:t>
      </w:r>
      <w:bookmarkEnd w:id="21"/>
    </w:p>
    <w:p w:rsidR="00E40D04" w:rsidP="00E40D04" w:rsidRDefault="559030AF" w14:paraId="1D0939D5" w14:textId="3F536CD4">
      <w:pPr>
        <w:jc w:val="left"/>
      </w:pPr>
      <w:r>
        <w:t>[DGWS]</w:t>
      </w:r>
      <w:r w:rsidR="00E40D04">
        <w:tab/>
      </w:r>
      <w:r>
        <w:t xml:space="preserve">Den Gode Webservice, </w:t>
      </w:r>
      <w:hyperlink r:id="rId17">
        <w:r w:rsidRPr="74220A13">
          <w:rPr>
            <w:rStyle w:val="Hyperlink"/>
          </w:rPr>
          <w:t>http://www.medcom.dk/wm110731</w:t>
        </w:r>
      </w:hyperlink>
      <w:r>
        <w:t xml:space="preserve"> </w:t>
      </w:r>
    </w:p>
    <w:p w:rsidR="00E40D04" w:rsidP="00E40D04" w:rsidRDefault="00E40D04" w14:paraId="44FB30F8" w14:textId="77777777">
      <w:pPr>
        <w:ind w:left="1300" w:hanging="1300"/>
        <w:jc w:val="left"/>
      </w:pPr>
    </w:p>
    <w:p w:rsidR="559030AF" w:rsidP="74220A13" w:rsidRDefault="559030AF" w14:paraId="56FBE8DD" w14:textId="40E66FE2">
      <w:pPr>
        <w:ind w:left="1440" w:hanging="1440"/>
        <w:jc w:val="left"/>
      </w:pPr>
      <w:r>
        <w:t>[E2B(R3)]</w:t>
      </w:r>
      <w:r>
        <w:tab/>
      </w:r>
      <w:r>
        <w:t>E2B(R3) guideline og specifikation,</w:t>
      </w:r>
      <w:r w:rsidR="74220A13">
        <w:t xml:space="preserve"> </w:t>
      </w:r>
      <w:hyperlink r:id="rId18">
        <w:r w:rsidRPr="74220A13" w:rsidR="74220A13">
          <w:rPr>
            <w:rStyle w:val="Hyperlink"/>
          </w:rPr>
          <w:t>https://www.ema.europa.eu/en/documents/scientific/guideline/international-conference-harmonisation-technical-requirements-registration-pharmaceuticals-human-use_en-4.pdf</w:t>
        </w:r>
      </w:hyperlink>
    </w:p>
    <w:p w:rsidR="74220A13" w:rsidP="74220A13" w:rsidRDefault="74220A13" w14:paraId="63F12CFF" w14:textId="7D1DF4C1">
      <w:pPr>
        <w:ind w:left="1440" w:hanging="1440"/>
        <w:jc w:val="left"/>
      </w:pPr>
    </w:p>
    <w:p w:rsidR="00E40D04" w:rsidP="00E40D04" w:rsidRDefault="00E40D04" w14:paraId="53B8890E" w14:textId="77777777">
      <w:pPr>
        <w:autoSpaceDE w:val="0"/>
        <w:autoSpaceDN w:val="0"/>
        <w:adjustRightInd w:val="0"/>
        <w:spacing w:line="240" w:lineRule="auto"/>
        <w:ind w:left="1440" w:hanging="1440"/>
        <w:jc w:val="left"/>
        <w:rPr>
          <w:rFonts w:cs="Arial"/>
          <w:color w:val="000000"/>
        </w:rPr>
      </w:pPr>
      <w:r w:rsidRPr="00C03102">
        <w:rPr>
          <w:rFonts w:cs="Arial"/>
          <w:color w:val="000000"/>
        </w:rPr>
        <w:t xml:space="preserve">[PERSLOV] </w:t>
      </w:r>
      <w:r>
        <w:rPr>
          <w:rFonts w:cs="Arial"/>
          <w:color w:val="000000"/>
        </w:rPr>
        <w:tab/>
      </w:r>
      <w:r w:rsidRPr="00E902E0">
        <w:rPr>
          <w:rFonts w:cs="Arial"/>
          <w:color w:val="000000"/>
        </w:rPr>
        <w:t>Lov om behandling af personoplysninger</w:t>
      </w:r>
      <w:r>
        <w:rPr>
          <w:rFonts w:cs="Arial"/>
          <w:color w:val="000000"/>
        </w:rPr>
        <w:t>, jf. l</w:t>
      </w:r>
      <w:r w:rsidRPr="00C03102">
        <w:rPr>
          <w:rFonts w:cs="Arial"/>
          <w:color w:val="000000"/>
        </w:rPr>
        <w:t>ov nr. 429 af 31</w:t>
      </w:r>
      <w:r>
        <w:rPr>
          <w:rFonts w:cs="Arial"/>
          <w:color w:val="000000"/>
        </w:rPr>
        <w:t xml:space="preserve">/05/2000 (og senere ændringer), </w:t>
      </w:r>
      <w:hyperlink w:history="1" r:id="rId19">
        <w:r w:rsidRPr="00AB174A">
          <w:rPr>
            <w:rStyle w:val="Hyperlink"/>
            <w:rFonts w:cs="Arial"/>
          </w:rPr>
          <w:t>https://www.retsinformation.dk/forms/R0710.aspx?id=828</w:t>
        </w:r>
      </w:hyperlink>
    </w:p>
    <w:p w:rsidRPr="00C03102" w:rsidR="00E40D04" w:rsidP="00E40D04" w:rsidRDefault="00E40D04" w14:paraId="3041E394" w14:textId="77777777">
      <w:pPr>
        <w:autoSpaceDE w:val="0"/>
        <w:autoSpaceDN w:val="0"/>
        <w:adjustRightInd w:val="0"/>
        <w:spacing w:line="240" w:lineRule="auto"/>
        <w:ind w:left="1300" w:hanging="1300"/>
        <w:jc w:val="left"/>
        <w:rPr>
          <w:rFonts w:cs="Arial"/>
          <w:color w:val="0000FF"/>
        </w:rPr>
      </w:pPr>
    </w:p>
    <w:p w:rsidR="00E40D04" w:rsidP="00E40D04" w:rsidRDefault="00E40D04" w14:paraId="496ACFF2" w14:textId="77777777">
      <w:pPr>
        <w:autoSpaceDE w:val="0"/>
        <w:autoSpaceDN w:val="0"/>
        <w:adjustRightInd w:val="0"/>
        <w:spacing w:line="240" w:lineRule="auto"/>
        <w:ind w:left="1440" w:hanging="1440"/>
        <w:jc w:val="left"/>
        <w:rPr>
          <w:rFonts w:cs="Arial"/>
          <w:color w:val="000000"/>
        </w:rPr>
      </w:pPr>
      <w:r w:rsidRPr="00C03102">
        <w:rPr>
          <w:rFonts w:cs="Arial"/>
          <w:color w:val="000000"/>
        </w:rPr>
        <w:t xml:space="preserve">[SUNDLOV] </w:t>
      </w:r>
      <w:r>
        <w:rPr>
          <w:rFonts w:cs="Arial"/>
          <w:color w:val="000000"/>
        </w:rPr>
        <w:tab/>
      </w:r>
      <w:r w:rsidRPr="00C03102">
        <w:rPr>
          <w:rFonts w:cs="Arial"/>
          <w:color w:val="000000"/>
        </w:rPr>
        <w:t xml:space="preserve">Sundhedsloven, </w:t>
      </w:r>
      <w:r>
        <w:rPr>
          <w:rFonts w:cs="Arial"/>
          <w:color w:val="000000"/>
        </w:rPr>
        <w:t>jf. l</w:t>
      </w:r>
      <w:r w:rsidRPr="00C03102">
        <w:rPr>
          <w:rFonts w:cs="Arial"/>
          <w:color w:val="000000"/>
        </w:rPr>
        <w:t>ov</w:t>
      </w:r>
      <w:r>
        <w:rPr>
          <w:rFonts w:cs="Arial"/>
          <w:color w:val="000000"/>
        </w:rPr>
        <w:t xml:space="preserve">bekendtgørelse nr. 1202 af 14/11/2014 (og senere ændringer), </w:t>
      </w:r>
      <w:hyperlink w:history="1" r:id="rId20">
        <w:r w:rsidRPr="00AB174A">
          <w:rPr>
            <w:rStyle w:val="Hyperlink"/>
            <w:rFonts w:cs="Arial"/>
          </w:rPr>
          <w:t>https://www.retsinformation.dk/forms/R0710.aspx?id=152710</w:t>
        </w:r>
      </w:hyperlink>
    </w:p>
    <w:p w:rsidR="00E40D04" w:rsidP="00E40D04" w:rsidRDefault="00E40D04" w14:paraId="722B00AE" w14:textId="77777777">
      <w:pPr>
        <w:autoSpaceDE w:val="0"/>
        <w:autoSpaceDN w:val="0"/>
        <w:adjustRightInd w:val="0"/>
        <w:spacing w:line="240" w:lineRule="auto"/>
        <w:ind w:left="1300" w:hanging="1300"/>
        <w:jc w:val="left"/>
        <w:rPr>
          <w:rFonts w:cs="Arial"/>
        </w:rPr>
      </w:pPr>
    </w:p>
    <w:p w:rsidR="00E40D04" w:rsidP="00E40D04" w:rsidRDefault="559030AF" w14:paraId="50296163" w14:textId="02F4A441">
      <w:pPr>
        <w:autoSpaceDE w:val="0"/>
        <w:autoSpaceDN w:val="0"/>
        <w:adjustRightInd w:val="0"/>
        <w:spacing w:line="240" w:lineRule="auto"/>
        <w:ind w:left="1440" w:hanging="1440"/>
        <w:jc w:val="left"/>
        <w:rPr>
          <w:rFonts w:cs="Arial"/>
        </w:rPr>
      </w:pPr>
      <w:r w:rsidRPr="74220A13">
        <w:rPr>
          <w:rFonts w:cs="Arial"/>
        </w:rPr>
        <w:t>Andre links</w:t>
      </w:r>
      <w:r w:rsidR="00E40D04">
        <w:tab/>
      </w:r>
      <w:r w:rsidRPr="74220A13">
        <w:rPr>
          <w:rFonts w:cs="Arial"/>
        </w:rPr>
        <w:t>Dokumenter med relevant information i forbindelse med elektronisk indberetning af bivirkninger”, Lægemiddelstyrelsen, juni 2014</w:t>
      </w:r>
    </w:p>
    <w:p w:rsidRPr="00325222" w:rsidR="00E93B81" w:rsidP="74220A13" w:rsidRDefault="002B38BD" w14:paraId="42C6D796" w14:textId="36EC88EF">
      <w:pPr>
        <w:spacing w:line="240" w:lineRule="auto"/>
        <w:ind w:left="1440"/>
        <w:jc w:val="left"/>
        <w:rPr>
          <w:lang w:val="en-US"/>
        </w:rPr>
      </w:pPr>
      <w:hyperlink r:id="rId21">
        <w:r w:rsidRPr="74220A13" w:rsidR="74220A13">
          <w:rPr>
            <w:rStyle w:val="Hyperlink"/>
          </w:rPr>
          <w:t>https://www.nspop.dk/display/public/web/Bivirkningsindberetning+%28BivWS%29+-+Leverancebeskrivelse</w:t>
        </w:r>
      </w:hyperlink>
    </w:p>
    <w:p w:rsidR="74220A13" w:rsidP="74220A13" w:rsidRDefault="74220A13" w14:paraId="482F1995" w14:textId="087E7916">
      <w:pPr>
        <w:spacing w:line="240" w:lineRule="auto"/>
        <w:ind w:left="1440" w:hanging="1440"/>
        <w:jc w:val="left"/>
      </w:pPr>
    </w:p>
    <w:sectPr w:rsidR="74220A13" w:rsidSect="003176F2">
      <w:footerReference w:type="default" r:id="rId22"/>
      <w:footerReference w:type="first" r:id="rId23"/>
      <w:pgSz w:w="11900" w:h="16840" w:orient="portrait"/>
      <w:pgMar w:top="1440" w:right="1800" w:bottom="1440" w:left="1800" w:header="720" w:footer="720" w:gutter="0"/>
      <w:cols w:space="720"/>
      <w:titlePg/>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6FD85C" w16cex:dateUtc="2022-03-28T10:39:42.566Z"/>
  <w16cex:commentExtensible w16cex:durableId="4736C9F4" w16cex:dateUtc="2022-03-28T10:41:19.62Z"/>
  <w16cex:commentExtensible w16cex:durableId="3D9B19A5" w16cex:dateUtc="2022-03-28T12:41:40.414Z"/>
  <w16cex:commentExtensible w16cex:durableId="56408C0E" w16cex:dateUtc="2022-03-28T12:42:54.102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8BD" w:rsidRDefault="002B38BD" w14:paraId="35DFC414" w14:textId="77777777">
      <w:pPr>
        <w:spacing w:line="240" w:lineRule="auto"/>
      </w:pPr>
      <w:r>
        <w:separator/>
      </w:r>
    </w:p>
  </w:endnote>
  <w:endnote w:type="continuationSeparator" w:id="0">
    <w:p w:rsidR="002B38BD" w:rsidRDefault="002B38BD" w14:paraId="029F225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2F440C" w:rsidR="00743087" w:rsidP="003176F2" w:rsidRDefault="00460A99" w14:paraId="206E11F7" w14:textId="77777777">
    <w:pPr>
      <w:jc w:val="right"/>
      <w:rPr>
        <w:rStyle w:val="Sidetal"/>
      </w:rPr>
    </w:pPr>
    <w:r w:rsidRPr="002F440C">
      <w:rPr>
        <w:rStyle w:val="Sidetal"/>
      </w:rPr>
      <w:t xml:space="preserve">Side </w:t>
    </w:r>
    <w:r w:rsidRPr="002F440C">
      <w:rPr>
        <w:rStyle w:val="Sidetal"/>
      </w:rPr>
      <w:fldChar w:fldCharType="begin"/>
    </w:r>
    <w:r w:rsidRPr="002F440C">
      <w:rPr>
        <w:rStyle w:val="Sidetal"/>
      </w:rPr>
      <w:instrText xml:space="preserve"> PAGE </w:instrText>
    </w:r>
    <w:r w:rsidRPr="002F440C">
      <w:rPr>
        <w:rStyle w:val="Sidetal"/>
      </w:rPr>
      <w:fldChar w:fldCharType="separate"/>
    </w:r>
    <w:r>
      <w:rPr>
        <w:rStyle w:val="Sidetal"/>
        <w:noProof/>
      </w:rPr>
      <w:t>14</w:t>
    </w:r>
    <w:r w:rsidRPr="002F440C">
      <w:rPr>
        <w:rStyle w:val="Sidetal"/>
      </w:rPr>
      <w:fldChar w:fldCharType="end"/>
    </w:r>
    <w:r w:rsidRPr="002F440C">
      <w:rPr>
        <w:rStyle w:val="Sidetal"/>
      </w:rPr>
      <w:t xml:space="preserve"> af </w:t>
    </w:r>
    <w:r w:rsidRPr="002F440C">
      <w:rPr>
        <w:rStyle w:val="Sidetal"/>
      </w:rPr>
      <w:fldChar w:fldCharType="begin"/>
    </w:r>
    <w:r w:rsidRPr="002F440C">
      <w:rPr>
        <w:rStyle w:val="Sidetal"/>
      </w:rPr>
      <w:instrText xml:space="preserve"> NUMPAGES </w:instrText>
    </w:r>
    <w:r w:rsidRPr="002F440C">
      <w:rPr>
        <w:rStyle w:val="Sidetal"/>
      </w:rPr>
      <w:fldChar w:fldCharType="separate"/>
    </w:r>
    <w:r>
      <w:rPr>
        <w:rStyle w:val="Sidetal"/>
        <w:noProof/>
      </w:rPr>
      <w:t>14</w:t>
    </w:r>
    <w:r w:rsidRPr="002F440C">
      <w:rPr>
        <w:rStyle w:val="Sidetal"/>
      </w:rPr>
      <w:fldChar w:fldCharType="end"/>
    </w:r>
  </w:p>
  <w:p w:rsidR="00743087" w:rsidRDefault="002B38BD" w14:paraId="6E1831B3" w14:textId="77777777"/>
  <w:p w:rsidR="00743087" w:rsidRDefault="002B38BD" w14:paraId="54E11D2A"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087" w:rsidP="003176F2" w:rsidRDefault="00460A99" w14:paraId="4B256367" w14:textId="77777777">
    <w:pPr>
      <w:jc w:val="right"/>
    </w:pPr>
    <w:r>
      <w:t xml:space="preserve">Side </w:t>
    </w:r>
    <w:r>
      <w:fldChar w:fldCharType="begin"/>
    </w:r>
    <w:r>
      <w:instrText xml:space="preserve"> PAGE </w:instrText>
    </w:r>
    <w:r>
      <w:fldChar w:fldCharType="separate"/>
    </w:r>
    <w:r>
      <w:rPr>
        <w:noProof/>
      </w:rPr>
      <w:t>1</w:t>
    </w:r>
    <w:r>
      <w:fldChar w:fldCharType="end"/>
    </w:r>
    <w:r>
      <w:t xml:space="preserve"> af </w:t>
    </w:r>
    <w:r>
      <w:fldChar w:fldCharType="begin"/>
    </w:r>
    <w:r>
      <w:instrText> NUMPAGES </w:instrText>
    </w:r>
    <w:r>
      <w:fldChar w:fldCharType="separate"/>
    </w:r>
    <w:r>
      <w:rPr>
        <w:noProof/>
      </w:rPr>
      <w:t>14</w:t>
    </w:r>
    <w:r>
      <w:fldChar w:fldCharType="end"/>
    </w:r>
  </w:p>
  <w:p w:rsidR="00743087" w:rsidRDefault="002B38BD" w14:paraId="16287F21" w14:textId="77777777"/>
  <w:p w:rsidR="00743087" w:rsidRDefault="002B38BD" w14:paraId="5BE93A62"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8BD" w:rsidRDefault="002B38BD" w14:paraId="75564746" w14:textId="77777777">
      <w:pPr>
        <w:spacing w:line="240" w:lineRule="auto"/>
      </w:pPr>
      <w:r>
        <w:separator/>
      </w:r>
    </w:p>
  </w:footnote>
  <w:footnote w:type="continuationSeparator" w:id="0">
    <w:p w:rsidR="002B38BD" w:rsidRDefault="002B38BD" w14:paraId="3BEB5A98"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67EB"/>
    <w:multiLevelType w:val="hybridMultilevel"/>
    <w:tmpl w:val="F6B62A5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31EE21BF"/>
    <w:multiLevelType w:val="hybridMultilevel"/>
    <w:tmpl w:val="A81E05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E36958"/>
    <w:multiLevelType w:val="hybridMultilevel"/>
    <w:tmpl w:val="382C3FB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04"/>
    <w:rsid w:val="00104B28"/>
    <w:rsid w:val="00261CA2"/>
    <w:rsid w:val="002B38BD"/>
    <w:rsid w:val="00325222"/>
    <w:rsid w:val="00344EEB"/>
    <w:rsid w:val="0039649D"/>
    <w:rsid w:val="00460A99"/>
    <w:rsid w:val="00565398"/>
    <w:rsid w:val="006C4D31"/>
    <w:rsid w:val="00911653"/>
    <w:rsid w:val="00C31A27"/>
    <w:rsid w:val="00C40710"/>
    <w:rsid w:val="00DF5576"/>
    <w:rsid w:val="00E40D04"/>
    <w:rsid w:val="00E93B81"/>
    <w:rsid w:val="00EE81C4"/>
    <w:rsid w:val="00F65835"/>
    <w:rsid w:val="00F764E2"/>
    <w:rsid w:val="018228CD"/>
    <w:rsid w:val="0289D710"/>
    <w:rsid w:val="03B9A05F"/>
    <w:rsid w:val="0491DA66"/>
    <w:rsid w:val="05648776"/>
    <w:rsid w:val="08865ABC"/>
    <w:rsid w:val="098D3AB2"/>
    <w:rsid w:val="0E7CFFC0"/>
    <w:rsid w:val="0F0B69BC"/>
    <w:rsid w:val="119B7825"/>
    <w:rsid w:val="15D7EB13"/>
    <w:rsid w:val="17B61B7A"/>
    <w:rsid w:val="19ECE8F2"/>
    <w:rsid w:val="1C4BBF23"/>
    <w:rsid w:val="1CE8BD38"/>
    <w:rsid w:val="237CCDEA"/>
    <w:rsid w:val="26083A40"/>
    <w:rsid w:val="26B2439D"/>
    <w:rsid w:val="2860659B"/>
    <w:rsid w:val="2A61CD1D"/>
    <w:rsid w:val="2BA8D1D9"/>
    <w:rsid w:val="2EBF8091"/>
    <w:rsid w:val="30C246DA"/>
    <w:rsid w:val="325E173B"/>
    <w:rsid w:val="32BFE99A"/>
    <w:rsid w:val="342434A5"/>
    <w:rsid w:val="3761650D"/>
    <w:rsid w:val="37632FD5"/>
    <w:rsid w:val="37FFF259"/>
    <w:rsid w:val="38617541"/>
    <w:rsid w:val="3C253350"/>
    <w:rsid w:val="3C34D630"/>
    <w:rsid w:val="3EBED9DE"/>
    <w:rsid w:val="40843217"/>
    <w:rsid w:val="413F93A0"/>
    <w:rsid w:val="4149E443"/>
    <w:rsid w:val="42C06B9F"/>
    <w:rsid w:val="42E5B4A4"/>
    <w:rsid w:val="44288A80"/>
    <w:rsid w:val="445C3C00"/>
    <w:rsid w:val="4565A0B8"/>
    <w:rsid w:val="4A13E520"/>
    <w:rsid w:val="5119DCF1"/>
    <w:rsid w:val="52BCEBF7"/>
    <w:rsid w:val="5390C75B"/>
    <w:rsid w:val="559030AF"/>
    <w:rsid w:val="57D4A02E"/>
    <w:rsid w:val="5827DD97"/>
    <w:rsid w:val="58ACD97F"/>
    <w:rsid w:val="5AE6083C"/>
    <w:rsid w:val="6075B6FC"/>
    <w:rsid w:val="622B7D68"/>
    <w:rsid w:val="6301C0AA"/>
    <w:rsid w:val="63800876"/>
    <w:rsid w:val="63B4B22C"/>
    <w:rsid w:val="6428A513"/>
    <w:rsid w:val="649EBCD1"/>
    <w:rsid w:val="65F975AC"/>
    <w:rsid w:val="66129E09"/>
    <w:rsid w:val="6931166E"/>
    <w:rsid w:val="694A3ECB"/>
    <w:rsid w:val="6A071E5F"/>
    <w:rsid w:val="6ACCE6CF"/>
    <w:rsid w:val="6C927121"/>
    <w:rsid w:val="6D59C9AA"/>
    <w:rsid w:val="701B52AE"/>
    <w:rsid w:val="74220A13"/>
    <w:rsid w:val="74AFF305"/>
    <w:rsid w:val="754D7DFA"/>
    <w:rsid w:val="78C71BF3"/>
    <w:rsid w:val="7DFA4459"/>
    <w:rsid w:val="7EC045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D172"/>
  <w15:chartTrackingRefBased/>
  <w15:docId w15:val="{22714CF2-5EDF-4E06-B269-443AD57BC0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40D04"/>
    <w:pPr>
      <w:spacing w:after="0" w:line="280" w:lineRule="exact"/>
      <w:jc w:val="both"/>
    </w:pPr>
    <w:rPr>
      <w:rFonts w:ascii="Arial" w:hAnsi="Arial" w:eastAsia="Times New Roman" w:cs="Times New Roman"/>
      <w:lang w:eastAsia="da-DK"/>
    </w:rPr>
  </w:style>
  <w:style w:type="paragraph" w:styleId="Overskrift1">
    <w:name w:val="heading 1"/>
    <w:basedOn w:val="Normal"/>
    <w:next w:val="Normal"/>
    <w:link w:val="Overskrift1Tegn"/>
    <w:qFormat/>
    <w:rsid w:val="00E40D04"/>
    <w:pPr>
      <w:keepNext/>
      <w:spacing w:before="480" w:after="240" w:line="320" w:lineRule="exact"/>
      <w:outlineLvl w:val="0"/>
    </w:pPr>
    <w:rPr>
      <w:b/>
      <w:color w:val="1F497D"/>
      <w:sz w:val="28"/>
    </w:rPr>
  </w:style>
  <w:style w:type="paragraph" w:styleId="Overskrift2">
    <w:name w:val="heading 2"/>
    <w:basedOn w:val="Normal"/>
    <w:next w:val="Normal"/>
    <w:link w:val="Overskrift2Tegn"/>
    <w:autoRedefine/>
    <w:qFormat/>
    <w:rsid w:val="00E40D04"/>
    <w:pPr>
      <w:keepNext/>
      <w:spacing w:before="240" w:after="60" w:line="300" w:lineRule="exact"/>
      <w:outlineLvl w:val="1"/>
    </w:pPr>
    <w:rPr>
      <w:b/>
      <w:color w:val="1F497D"/>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rsid w:val="00E40D04"/>
    <w:rPr>
      <w:rFonts w:ascii="Arial" w:hAnsi="Arial" w:eastAsia="Times New Roman" w:cs="Times New Roman"/>
      <w:b/>
      <w:color w:val="1F497D"/>
      <w:sz w:val="28"/>
      <w:lang w:eastAsia="da-DK"/>
    </w:rPr>
  </w:style>
  <w:style w:type="character" w:styleId="Overskrift2Tegn" w:customStyle="1">
    <w:name w:val="Overskrift 2 Tegn"/>
    <w:basedOn w:val="Standardskrifttypeiafsnit"/>
    <w:link w:val="Overskrift2"/>
    <w:rsid w:val="00E40D04"/>
    <w:rPr>
      <w:rFonts w:ascii="Arial" w:hAnsi="Arial" w:eastAsia="Times New Roman" w:cs="Times New Roman"/>
      <w:b/>
      <w:color w:val="1F497D"/>
      <w:lang w:eastAsia="da-DK"/>
    </w:rPr>
  </w:style>
  <w:style w:type="paragraph" w:styleId="Lystgitter-fremhvningsfarve31" w:customStyle="1">
    <w:name w:val="Lyst gitter - fremhævningsfarve 31"/>
    <w:basedOn w:val="Normal"/>
    <w:uiPriority w:val="34"/>
    <w:qFormat/>
    <w:rsid w:val="00E40D04"/>
    <w:pPr>
      <w:spacing w:line="240" w:lineRule="auto"/>
      <w:ind w:left="720"/>
      <w:contextualSpacing/>
      <w:jc w:val="left"/>
    </w:pPr>
    <w:rPr>
      <w:rFonts w:ascii="Cambria" w:hAnsi="Cambria" w:eastAsia="MS Mincho"/>
      <w:sz w:val="24"/>
      <w:szCs w:val="24"/>
    </w:rPr>
  </w:style>
  <w:style w:type="character" w:styleId="Sidetal">
    <w:name w:val="page number"/>
    <w:rsid w:val="00E40D04"/>
    <w:rPr>
      <w:rFonts w:ascii="Arial" w:hAnsi="Arial"/>
      <w:sz w:val="22"/>
      <w:szCs w:val="22"/>
    </w:rPr>
  </w:style>
  <w:style w:type="character" w:styleId="html-tag" w:customStyle="1">
    <w:name w:val="html-tag"/>
    <w:rsid w:val="00E40D04"/>
  </w:style>
  <w:style w:type="character" w:styleId="Hyperlink">
    <w:name w:val="Hyperlink"/>
    <w:uiPriority w:val="99"/>
    <w:rsid w:val="00E40D04"/>
    <w:rPr>
      <w:color w:val="0000FF"/>
      <w:u w:val="single"/>
    </w:rPr>
  </w:style>
  <w:style w:type="paragraph" w:styleId="Indholdsfortegnelse1">
    <w:name w:val="toc 1"/>
    <w:basedOn w:val="Normal"/>
    <w:next w:val="Normal"/>
    <w:autoRedefine/>
    <w:uiPriority w:val="39"/>
    <w:rsid w:val="00E40D04"/>
    <w:pPr>
      <w:overflowPunct w:val="0"/>
      <w:autoSpaceDE w:val="0"/>
      <w:autoSpaceDN w:val="0"/>
      <w:adjustRightInd w:val="0"/>
      <w:spacing w:line="240" w:lineRule="auto"/>
      <w:jc w:val="left"/>
      <w:textAlignment w:val="baseline"/>
    </w:pPr>
    <w:rPr>
      <w:szCs w:val="24"/>
      <w:lang w:eastAsia="en-US"/>
    </w:rPr>
  </w:style>
  <w:style w:type="paragraph" w:styleId="Indholdsfortegnelse2">
    <w:name w:val="toc 2"/>
    <w:basedOn w:val="Normal"/>
    <w:next w:val="Normal"/>
    <w:autoRedefine/>
    <w:uiPriority w:val="39"/>
    <w:rsid w:val="00E40D04"/>
    <w:pPr>
      <w:overflowPunct w:val="0"/>
      <w:autoSpaceDE w:val="0"/>
      <w:autoSpaceDN w:val="0"/>
      <w:adjustRightInd w:val="0"/>
      <w:spacing w:line="240" w:lineRule="auto"/>
      <w:ind w:left="220"/>
      <w:jc w:val="left"/>
      <w:textAlignment w:val="baseline"/>
    </w:pPr>
    <w:rPr>
      <w:szCs w:val="24"/>
      <w:lang w:eastAsia="en-US"/>
    </w:rPr>
  </w:style>
  <w:style w:type="character" w:styleId="Kommentarhenvisning">
    <w:name w:val="annotation reference"/>
    <w:basedOn w:val="Standardskrifttypeiafsnit"/>
    <w:uiPriority w:val="99"/>
    <w:semiHidden/>
    <w:unhideWhenUsed/>
    <w:rsid w:val="00F65835"/>
    <w:rPr>
      <w:sz w:val="16"/>
      <w:szCs w:val="16"/>
    </w:rPr>
  </w:style>
  <w:style w:type="paragraph" w:styleId="Kommentartekst">
    <w:name w:val="annotation text"/>
    <w:basedOn w:val="Normal"/>
    <w:link w:val="KommentartekstTegn"/>
    <w:uiPriority w:val="99"/>
    <w:semiHidden/>
    <w:unhideWhenUsed/>
    <w:rsid w:val="00F65835"/>
    <w:pPr>
      <w:spacing w:line="240" w:lineRule="auto"/>
    </w:pPr>
    <w:rPr>
      <w:sz w:val="20"/>
      <w:szCs w:val="20"/>
    </w:rPr>
  </w:style>
  <w:style w:type="character" w:styleId="KommentartekstTegn" w:customStyle="1">
    <w:name w:val="Kommentartekst Tegn"/>
    <w:basedOn w:val="Standardskrifttypeiafsnit"/>
    <w:link w:val="Kommentartekst"/>
    <w:uiPriority w:val="99"/>
    <w:semiHidden/>
    <w:rsid w:val="00F65835"/>
    <w:rPr>
      <w:rFonts w:ascii="Arial" w:hAnsi="Arial" w:eastAsia="Times New Roman" w:cs="Times New Roman"/>
      <w:sz w:val="20"/>
      <w:szCs w:val="20"/>
      <w:lang w:eastAsia="da-DK"/>
    </w:rPr>
  </w:style>
  <w:style w:type="paragraph" w:styleId="Kommentaremne">
    <w:name w:val="annotation subject"/>
    <w:basedOn w:val="Kommentartekst"/>
    <w:next w:val="Kommentartekst"/>
    <w:link w:val="KommentaremneTegn"/>
    <w:uiPriority w:val="99"/>
    <w:semiHidden/>
    <w:unhideWhenUsed/>
    <w:rsid w:val="00F65835"/>
    <w:rPr>
      <w:b/>
      <w:bCs/>
    </w:rPr>
  </w:style>
  <w:style w:type="character" w:styleId="KommentaremneTegn" w:customStyle="1">
    <w:name w:val="Kommentaremne Tegn"/>
    <w:basedOn w:val="KommentartekstTegn"/>
    <w:link w:val="Kommentaremne"/>
    <w:uiPriority w:val="99"/>
    <w:semiHidden/>
    <w:rsid w:val="00F65835"/>
    <w:rPr>
      <w:rFonts w:ascii="Arial" w:hAnsi="Arial" w:eastAsia="Times New Roman" w:cs="Times New Roman"/>
      <w:b/>
      <w:bCs/>
      <w:sz w:val="20"/>
      <w:szCs w:val="20"/>
      <w:lang w:eastAsia="da-DK"/>
    </w:rPr>
  </w:style>
  <w:style w:type="paragraph" w:styleId="Markeringsbobletekst">
    <w:name w:val="Balloon Text"/>
    <w:basedOn w:val="Normal"/>
    <w:link w:val="MarkeringsbobletekstTegn"/>
    <w:uiPriority w:val="99"/>
    <w:semiHidden/>
    <w:unhideWhenUsed/>
    <w:rsid w:val="00F65835"/>
    <w:pPr>
      <w:spacing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F65835"/>
    <w:rPr>
      <w:rFonts w:ascii="Segoe UI" w:hAnsi="Segoe UI" w:eastAsia="Times New Roman" w:cs="Segoe UI"/>
      <w:sz w:val="18"/>
      <w:szCs w:val="18"/>
      <w:lang w:eastAsia="da-DK"/>
    </w:rPr>
  </w:style>
  <w:style w:type="character" w:styleId="Ulstomtale">
    <w:name w:val="Unresolved Mention"/>
    <w:basedOn w:val="Standardskrifttypeiafsnit"/>
    <w:uiPriority w:val="99"/>
    <w:semiHidden/>
    <w:unhideWhenUsed/>
    <w:rsid w:val="00DF5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91353">
      <w:bodyDiv w:val="1"/>
      <w:marLeft w:val="0"/>
      <w:marRight w:val="0"/>
      <w:marTop w:val="0"/>
      <w:marBottom w:val="0"/>
      <w:divBdr>
        <w:top w:val="none" w:sz="0" w:space="0" w:color="auto"/>
        <w:left w:val="none" w:sz="0" w:space="0" w:color="auto"/>
        <w:bottom w:val="none" w:sz="0" w:space="0" w:color="auto"/>
        <w:right w:val="none" w:sz="0" w:space="0" w:color="auto"/>
      </w:divBdr>
    </w:div>
    <w:div w:id="160360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sdl.nspop.dk/bivws/bivirkningsindberetningwebservice?wsdl" TargetMode="External" Id="rId13" /><Relationship Type="http://schemas.openxmlformats.org/officeDocument/2006/relationships/hyperlink" Target="https://www.ema.europa.eu/en/documents/scientific-guideline/international-conference-harmonisation-technical-requirements-registration-pharmaceuticals-human-use_en-4.pdf" TargetMode="External" Id="rId18" /><Relationship Type="http://schemas.openxmlformats.org/officeDocument/2006/relationships/customXml" Target="../customXml/item3.xml" Id="rId3" /><Relationship Type="http://schemas.openxmlformats.org/officeDocument/2006/relationships/hyperlink" Target="https://www.nspop.dk/display/public/web/Bivirkningsindberetning+%28BivWS%29+-+Leverancebeskrivelse" TargetMode="External" Id="rId21" /><Relationship Type="http://schemas.openxmlformats.org/officeDocument/2006/relationships/webSettings" Target="webSettings.xml" Id="rId7" /><Relationship Type="http://schemas.openxmlformats.org/officeDocument/2006/relationships/hyperlink" Target="https://wsdl.nspop.dk/bivwsp/submissionservice?wsdl" TargetMode="External" Id="rId12" /><Relationship Type="http://schemas.openxmlformats.org/officeDocument/2006/relationships/hyperlink" Target="http://www.medcom.dk/wm110731"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www.nspop.dk/display/public/web/DCC+-+Guide+til+anvendere" TargetMode="External" Id="rId16" /><Relationship Type="http://schemas.openxmlformats.org/officeDocument/2006/relationships/hyperlink" Target="https://www.retsinformation.dk/forms/R0710.aspx?id=152710"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fontTable" Target="fontTable.xml" Id="rId24" /><Relationship Type="http://schemas.microsoft.com/office/2018/08/relationships/commentsExtensible" Target="commentsExtensible.xml" Id="Rdda90f5181de442e" /><Relationship Type="http://schemas.openxmlformats.org/officeDocument/2006/relationships/styles" Target="styles.xml" Id="rId5" /><Relationship Type="http://schemas.openxmlformats.org/officeDocument/2006/relationships/hyperlink" Target="https://www.nspop.dk/display/public/web/Bivirkningsindberetning+%28BivWS%29+-+Leverancebeskrivelse" TargetMode="External" Id="rId15" /><Relationship Type="http://schemas.openxmlformats.org/officeDocument/2006/relationships/footer" Target="footer2.xml" Id="rId23" /><Relationship Type="http://schemas.openxmlformats.org/officeDocument/2006/relationships/image" Target="media/image1.png" Id="rId10" /><Relationship Type="http://schemas.openxmlformats.org/officeDocument/2006/relationships/hyperlink" Target="https://www.retsinformation.dk/forms/R0710.aspx?id=828"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sdl.nspop.dk/bivwsp/submissionservice?wsdl" TargetMode="External" Id="rId14" /><Relationship Type="http://schemas.openxmlformats.org/officeDocument/2006/relationships/footer" Target="footer1.xml" Id="rId22"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6DFEE2193EDD44E9A283A71C06D3B5A" ma:contentTypeVersion="10" ma:contentTypeDescription="Opret et nyt dokument." ma:contentTypeScope="" ma:versionID="424b9f3e1dd533ac38ce2c36aa2b1bb4">
  <xsd:schema xmlns:xsd="http://www.w3.org/2001/XMLSchema" xmlns:xs="http://www.w3.org/2001/XMLSchema" xmlns:p="http://schemas.microsoft.com/office/2006/metadata/properties" xmlns:ns2="1c5f1263-3449-4d37-8e88-3d4bbc415930" xmlns:ns3="74262f16-bdf1-45e9-95f9-ed9b7b607ba0" targetNamespace="http://schemas.microsoft.com/office/2006/metadata/properties" ma:root="true" ma:fieldsID="2d90e2e296bdbfcf8fbe1c866f6a7a44" ns2:_="" ns3:_="">
    <xsd:import namespace="1c5f1263-3449-4d37-8e88-3d4bbc415930"/>
    <xsd:import namespace="74262f16-bdf1-45e9-95f9-ed9b7b607b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f1263-3449-4d37-8e88-3d4bbc415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262f16-bdf1-45e9-95f9-ed9b7b607ba0"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10ED65-1FDD-4C2C-BE4C-145F190143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21647C-1905-48B2-875C-B4AD3B21292A}">
  <ds:schemaRefs>
    <ds:schemaRef ds:uri="http://schemas.microsoft.com/sharepoint/v3/contenttype/forms"/>
  </ds:schemaRefs>
</ds:datastoreItem>
</file>

<file path=customXml/itemProps3.xml><?xml version="1.0" encoding="utf-8"?>
<ds:datastoreItem xmlns:ds="http://schemas.openxmlformats.org/officeDocument/2006/customXml" ds:itemID="{610BE62B-3BA9-4525-9719-CAE89678B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5f1263-3449-4d37-8e88-3d4bbc415930"/>
    <ds:schemaRef ds:uri="74262f16-bdf1-45e9-95f9-ed9b7b607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Ole Bak Jensen</dc:creator>
  <keywords/>
  <dc:description/>
  <lastModifiedBy>Kari Rye Schougaard</lastModifiedBy>
  <revision>9</revision>
  <dcterms:created xsi:type="dcterms:W3CDTF">2022-03-15T14:05:00.0000000Z</dcterms:created>
  <dcterms:modified xsi:type="dcterms:W3CDTF">2022-09-06T09:29:58.3176477Z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0x01010086DFEE2193EDD44E9A283A71C06D3B5A</vt:lpwstr>
  </property>
</Properties>
</file>