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97C125B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77D8E673" w14:textId="77777777" w:rsidR="00C6206D" w:rsidRPr="00346121" w:rsidRDefault="00C6206D" w:rsidP="00C6206D">
      <w:pPr>
        <w:jc w:val="center"/>
        <w:rPr>
          <w:sz w:val="32"/>
        </w:rPr>
      </w:pPr>
    </w:p>
    <w:p w14:paraId="570DCF39" w14:textId="77777777" w:rsidR="00C6206D" w:rsidRPr="00346121" w:rsidRDefault="00C6206D" w:rsidP="00C6206D">
      <w:pPr>
        <w:jc w:val="center"/>
        <w:rPr>
          <w:sz w:val="32"/>
        </w:rPr>
      </w:pPr>
    </w:p>
    <w:p w14:paraId="47D3AAE1" w14:textId="77777777" w:rsidR="00C6206D" w:rsidRPr="00346121" w:rsidRDefault="00C6206D" w:rsidP="00C6206D">
      <w:pPr>
        <w:jc w:val="center"/>
        <w:rPr>
          <w:sz w:val="32"/>
        </w:rPr>
      </w:pPr>
    </w:p>
    <w:p w14:paraId="1E4F462B" w14:textId="77777777" w:rsidR="00C6206D" w:rsidRPr="00346121" w:rsidRDefault="00C6206D" w:rsidP="00C6206D">
      <w:pPr>
        <w:jc w:val="center"/>
        <w:rPr>
          <w:sz w:val="32"/>
        </w:rPr>
      </w:pPr>
    </w:p>
    <w:p w14:paraId="62439D96" w14:textId="77777777" w:rsidR="00C6206D" w:rsidRPr="00346121" w:rsidRDefault="00C6206D" w:rsidP="00C6206D">
      <w:pPr>
        <w:jc w:val="center"/>
        <w:rPr>
          <w:sz w:val="32"/>
        </w:rPr>
      </w:pPr>
    </w:p>
    <w:p w14:paraId="570165A6" w14:textId="77777777" w:rsidR="00C6206D" w:rsidRPr="00346121" w:rsidRDefault="00C6206D" w:rsidP="00C6206D">
      <w:pPr>
        <w:jc w:val="center"/>
        <w:rPr>
          <w:sz w:val="32"/>
        </w:rPr>
      </w:pPr>
    </w:p>
    <w:p w14:paraId="6BA56931" w14:textId="77777777" w:rsidR="00C6206D" w:rsidRPr="00346121" w:rsidRDefault="00C6206D" w:rsidP="00C6206D">
      <w:pPr>
        <w:jc w:val="center"/>
        <w:rPr>
          <w:sz w:val="32"/>
        </w:rPr>
      </w:pPr>
    </w:p>
    <w:p w14:paraId="43C17F7A" w14:textId="77777777" w:rsidR="00C6206D" w:rsidRPr="00346121" w:rsidRDefault="00C6206D" w:rsidP="00C6206D">
      <w:pPr>
        <w:jc w:val="center"/>
        <w:rPr>
          <w:sz w:val="32"/>
        </w:rPr>
      </w:pPr>
    </w:p>
    <w:p w14:paraId="71443CC4" w14:textId="77777777" w:rsidR="00C6206D" w:rsidRPr="00346121" w:rsidRDefault="00C6206D" w:rsidP="00C6206D">
      <w:pPr>
        <w:jc w:val="center"/>
        <w:rPr>
          <w:sz w:val="32"/>
        </w:rPr>
      </w:pPr>
    </w:p>
    <w:p w14:paraId="61DC160D" w14:textId="77777777" w:rsidR="00C6206D" w:rsidRPr="00346121" w:rsidRDefault="00C6206D" w:rsidP="00C6206D">
      <w:pPr>
        <w:jc w:val="center"/>
        <w:rPr>
          <w:sz w:val="32"/>
        </w:rPr>
      </w:pPr>
    </w:p>
    <w:p w14:paraId="5346CB76" w14:textId="77777777" w:rsidR="00C6206D" w:rsidRPr="00346121" w:rsidRDefault="00C30E88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  <w:r w:rsidR="00D86619">
        <w:rPr>
          <w:sz w:val="32"/>
        </w:rPr>
        <w:t>servicen på NSP</w:t>
      </w:r>
    </w:p>
    <w:p w14:paraId="5DF8466E" w14:textId="77777777" w:rsidR="00C6206D" w:rsidRPr="00346121" w:rsidRDefault="00C6206D" w:rsidP="00C6206D">
      <w:pPr>
        <w:jc w:val="center"/>
        <w:rPr>
          <w:sz w:val="32"/>
        </w:rPr>
      </w:pPr>
    </w:p>
    <w:p w14:paraId="18B2DEA1" w14:textId="77777777" w:rsidR="00C6206D" w:rsidRDefault="008678F6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Design og Arkitektur</w:t>
      </w:r>
    </w:p>
    <w:p w14:paraId="211372D9" w14:textId="77777777" w:rsidR="00C6206D" w:rsidRDefault="00C6206D" w:rsidP="00437003">
      <w:pPr>
        <w:pStyle w:val="Rubrik"/>
        <w:jc w:val="both"/>
      </w:pPr>
    </w:p>
    <w:p w14:paraId="0229B6B1" w14:textId="77777777" w:rsidR="004D21DC" w:rsidRDefault="00437003">
      <w:pPr>
        <w:pStyle w:val="Overskrift"/>
      </w:pPr>
      <w:r>
        <w:br w:type="page"/>
      </w:r>
    </w:p>
    <w:sdt>
      <w:sdtPr>
        <w:rPr>
          <w:rFonts w:ascii="Arial" w:eastAsia="Times New Roman" w:hAnsi="Arial"/>
          <w:b w:val="0"/>
          <w:bCs w:val="0"/>
          <w:color w:val="auto"/>
          <w:sz w:val="22"/>
          <w:szCs w:val="22"/>
          <w:lang w:eastAsia="da-DK"/>
        </w:rPr>
        <w:id w:val="238777014"/>
        <w:docPartObj>
          <w:docPartGallery w:val="Table of Contents"/>
          <w:docPartUnique/>
        </w:docPartObj>
      </w:sdtPr>
      <w:sdtEndPr/>
      <w:sdtContent>
        <w:p w14:paraId="15525F33" w14:textId="77777777" w:rsidR="004D21DC" w:rsidRDefault="004D21DC">
          <w:pPr>
            <w:pStyle w:val="Overskrift"/>
          </w:pPr>
          <w:r>
            <w:t>Indhold</w:t>
          </w:r>
        </w:p>
        <w:p w14:paraId="3F5E15AA" w14:textId="77777777" w:rsidR="004A60D8" w:rsidRDefault="0096578C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 w:rsidR="004D21DC">
            <w:instrText xml:space="preserve"> TOC \o "1-3" \h \z \u </w:instrText>
          </w:r>
          <w:r>
            <w:fldChar w:fldCharType="separate"/>
          </w:r>
          <w:r w:rsidR="004A60D8">
            <w:rPr>
              <w:noProof/>
            </w:rPr>
            <w:t>1</w:t>
          </w:r>
          <w:r w:rsidR="004A60D8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4A60D8">
            <w:rPr>
              <w:noProof/>
            </w:rPr>
            <w:t>Formål</w:t>
          </w:r>
          <w:r w:rsidR="004A60D8">
            <w:rPr>
              <w:noProof/>
            </w:rPr>
            <w:tab/>
          </w:r>
          <w:r w:rsidR="004A60D8">
            <w:rPr>
              <w:noProof/>
            </w:rPr>
            <w:fldChar w:fldCharType="begin"/>
          </w:r>
          <w:r w:rsidR="004A60D8">
            <w:rPr>
              <w:noProof/>
            </w:rPr>
            <w:instrText xml:space="preserve"> PAGEREF _Toc207425799 \h </w:instrText>
          </w:r>
          <w:r w:rsidR="004A60D8">
            <w:rPr>
              <w:noProof/>
            </w:rPr>
          </w:r>
          <w:r w:rsidR="004A60D8">
            <w:rPr>
              <w:noProof/>
            </w:rPr>
            <w:fldChar w:fldCharType="separate"/>
          </w:r>
          <w:r w:rsidR="004A60D8">
            <w:rPr>
              <w:noProof/>
            </w:rPr>
            <w:t>3</w:t>
          </w:r>
          <w:r w:rsidR="004A60D8">
            <w:rPr>
              <w:noProof/>
            </w:rPr>
            <w:fldChar w:fldCharType="end"/>
          </w:r>
        </w:p>
        <w:p w14:paraId="1771EC48" w14:textId="77777777" w:rsidR="004A60D8" w:rsidRDefault="004A60D8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Arkitekturoverblik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82519D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Fysisk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A81A425" w14:textId="77777777" w:rsidR="004A60D8" w:rsidRDefault="004A60D8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Logisk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A82C415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Dataindsamling: Stamdata Importer og Parser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5A92CA6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Replikering til NSP instanserne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622C008" w14:textId="77777777" w:rsidR="004A60D8" w:rsidRDefault="004A60D8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Særlige forhold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2DEA1E" w14:textId="77777777" w:rsidR="004A60D8" w:rsidRDefault="004A60D8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Fysiske Datamodeller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27B5A70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Doseringsforslag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14956D9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CPR-registret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595ACB5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SKS-registret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A0F687B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SOR-registret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C281086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Yderregistret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80EB65A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Autorisationsregistret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7767416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DKMA-registret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6503E39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Bemyndigelser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F6FB618" w14:textId="77777777" w:rsidR="004A60D8" w:rsidRDefault="004A60D8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5.9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SOR-NPI relationer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BA9A910" w14:textId="77777777" w:rsidR="004A60D8" w:rsidRDefault="004A60D8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Ændringslog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_Toc207425816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3494281" w14:textId="77777777" w:rsidR="004D21DC" w:rsidRDefault="0096578C">
          <w:r>
            <w:fldChar w:fldCharType="end"/>
          </w:r>
        </w:p>
      </w:sdtContent>
    </w:sdt>
    <w:p w14:paraId="7C891944" w14:textId="77777777" w:rsidR="00C6206D" w:rsidRDefault="00C6206D" w:rsidP="00C6206D"/>
    <w:p w14:paraId="329B3935" w14:textId="77777777" w:rsidR="00D9292A" w:rsidRDefault="00D9292A" w:rsidP="00D9292A">
      <w:pPr>
        <w:pStyle w:val="Overskrift1"/>
      </w:pPr>
      <w:bookmarkStart w:id="1" w:name="_Toc292960798"/>
      <w:bookmarkStart w:id="2" w:name="_Toc207425799"/>
      <w:bookmarkEnd w:id="0"/>
      <w:r>
        <w:lastRenderedPageBreak/>
        <w:t>Formål</w:t>
      </w:r>
      <w:bookmarkEnd w:id="1"/>
      <w:bookmarkEnd w:id="2"/>
    </w:p>
    <w:p w14:paraId="07EE6CEA" w14:textId="77777777" w:rsidR="00EA65E1" w:rsidRDefault="00367828" w:rsidP="00EA65E1">
      <w:r>
        <w:t xml:space="preserve">Nærværende dokument giver et overblik over stamdataservicen med fokus på design og arkitektur. </w:t>
      </w:r>
      <w:r w:rsidR="00613343">
        <w:t xml:space="preserve">Dokumentet </w:t>
      </w:r>
      <w:r w:rsidR="00A11088">
        <w:t xml:space="preserve">har som formål at give et </w:t>
      </w:r>
      <w:r w:rsidR="00613343">
        <w:t>indblik i det underliggende design</w:t>
      </w:r>
      <w:r w:rsidR="00044DAC">
        <w:t xml:space="preserve">, </w:t>
      </w:r>
      <w:r w:rsidR="00613343">
        <w:t>de udstillede snitflader på det overordnede niveau</w:t>
      </w:r>
      <w:r w:rsidR="00044DAC">
        <w:t xml:space="preserve"> samt særlige forhold vedrørende de udstillede registre. </w:t>
      </w:r>
      <w:r w:rsidR="00A11088">
        <w:t xml:space="preserve">Både aftagere af stamdataservicen, kildedataleverandører samt </w:t>
      </w:r>
      <w:r w:rsidR="00F8218A">
        <w:t>NSP operatør/drift</w:t>
      </w:r>
      <w:r w:rsidR="00655489">
        <w:t>s</w:t>
      </w:r>
      <w:r w:rsidR="00F8218A">
        <w:t>leverandør kan med fordel læse dette dokument.</w:t>
      </w:r>
    </w:p>
    <w:p w14:paraId="60D50B7F" w14:textId="77777777" w:rsidR="00C30E88" w:rsidRDefault="00C30E88">
      <w:pPr>
        <w:spacing w:line="240" w:lineRule="auto"/>
        <w:jc w:val="left"/>
      </w:pPr>
    </w:p>
    <w:p w14:paraId="6826F3B5" w14:textId="77777777" w:rsidR="00EA65E1" w:rsidRDefault="00C30E88" w:rsidP="00C30E88">
      <w:pPr>
        <w:pStyle w:val="Overskrift1"/>
      </w:pPr>
      <w:bookmarkStart w:id="3" w:name="_Toc207425800"/>
      <w:r>
        <w:lastRenderedPageBreak/>
        <w:t>Arkitekturoverblik</w:t>
      </w:r>
      <w:bookmarkEnd w:id="3"/>
    </w:p>
    <w:p w14:paraId="39604829" w14:textId="77777777" w:rsidR="00A626E7" w:rsidRDefault="00C30E88" w:rsidP="00EA65E1">
      <w:r w:rsidRPr="002B6E62">
        <w:t>Stamdata</w:t>
      </w:r>
      <w:r w:rsidR="00A626E7">
        <w:t xml:space="preserve"> modulet (SDM) er udstillet på NSP, og </w:t>
      </w:r>
      <w:r w:rsidRPr="002B6E62">
        <w:t>består a</w:t>
      </w:r>
      <w:r w:rsidR="008E38AD">
        <w:t>f</w:t>
      </w:r>
      <w:r w:rsidRPr="002B6E62">
        <w:t xml:space="preserve"> flere komponenter. Der er </w:t>
      </w:r>
      <w:r w:rsidR="00A626E7">
        <w:t xml:space="preserve">en </w:t>
      </w:r>
      <w:r w:rsidRPr="002B6E62">
        <w:t>række webservices</w:t>
      </w:r>
      <w:r w:rsidR="00A626E7">
        <w:t>,</w:t>
      </w:r>
      <w:r w:rsidRPr="002B6E62">
        <w:t xml:space="preserve"> som tilbyder data-a</w:t>
      </w:r>
      <w:r w:rsidR="00A626E7">
        <w:t>dgang til forskellige registre</w:t>
      </w:r>
      <w:r w:rsidR="001B23FB">
        <w:t xml:space="preserve"> (enkeltopslag og </w:t>
      </w:r>
      <w:r w:rsidR="007D071B">
        <w:t>udtræk af registre</w:t>
      </w:r>
      <w:r w:rsidR="001B23FB">
        <w:t>)</w:t>
      </w:r>
      <w:r w:rsidR="00A626E7">
        <w:t xml:space="preserve">, og et dataopsamlings </w:t>
      </w:r>
      <w:proofErr w:type="spellStart"/>
      <w:r w:rsidR="00A626E7">
        <w:t>framework</w:t>
      </w:r>
      <w:proofErr w:type="spellEnd"/>
      <w:r w:rsidR="00A626E7">
        <w:t xml:space="preserve">, bestående af parsere og importere, der henter data fra en række eksterne kildedataregistre, bl.a. CPR-registret og SKS. Nedenstående </w:t>
      </w:r>
      <w:r w:rsidR="00712D39">
        <w:t>figur viser en principskitse over arkitekturen</w:t>
      </w:r>
      <w:r w:rsidR="00A626E7">
        <w:t>, hvor stamdata services er udstillet på de</w:t>
      </w:r>
      <w:r w:rsidR="00712D39">
        <w:t>n</w:t>
      </w:r>
      <w:r w:rsidR="00A626E7">
        <w:t xml:space="preserve"> enkelte NSP</w:t>
      </w:r>
      <w:r w:rsidR="00712D39">
        <w:t xml:space="preserve"> instans</w:t>
      </w:r>
      <w:r w:rsidR="00A626E7">
        <w:t>.</w:t>
      </w:r>
    </w:p>
    <w:p w14:paraId="3DBD2BD4" w14:textId="77777777" w:rsidR="00A626E7" w:rsidRDefault="00A626E7" w:rsidP="00655489">
      <w:pPr>
        <w:keepNext/>
        <w:keepLines/>
      </w:pPr>
    </w:p>
    <w:p w14:paraId="1D47432D" w14:textId="77777777" w:rsidR="00712D39" w:rsidRDefault="00EB793B" w:rsidP="00367828">
      <w:pPr>
        <w:keepNext/>
        <w:keepLines/>
        <w:spacing w:before="4800"/>
      </w:pPr>
      <w:r w:rsidRPr="00EB793B">
        <w:rPr>
          <w:noProof/>
          <w:lang w:val="en-US"/>
        </w:rPr>
        <w:drawing>
          <wp:inline distT="0" distB="0" distL="0" distR="0" wp14:anchorId="4CCEDCA1" wp14:editId="36F2F743">
            <wp:extent cx="5270500" cy="3163965"/>
            <wp:effectExtent l="0" t="0" r="0" b="1143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93B">
        <w:t xml:space="preserve"> </w:t>
      </w:r>
    </w:p>
    <w:p w14:paraId="51E8E30C" w14:textId="77777777" w:rsidR="00A626E7" w:rsidRDefault="00712D39" w:rsidP="00655489">
      <w:pPr>
        <w:pStyle w:val="Billedtekst"/>
      </w:pPr>
      <w:r>
        <w:t xml:space="preserve">Figur </w:t>
      </w:r>
      <w:r w:rsidR="004A60D8">
        <w:fldChar w:fldCharType="begin"/>
      </w:r>
      <w:r w:rsidR="004A60D8">
        <w:instrText xml:space="preserve"> SEQ Figur \* ARABIC </w:instrText>
      </w:r>
      <w:r w:rsidR="004A60D8">
        <w:fldChar w:fldCharType="separate"/>
      </w:r>
      <w:r w:rsidR="0014391C">
        <w:rPr>
          <w:noProof/>
        </w:rPr>
        <w:t>1</w:t>
      </w:r>
      <w:r w:rsidR="004A60D8">
        <w:rPr>
          <w:noProof/>
        </w:rPr>
        <w:fldChar w:fldCharType="end"/>
      </w:r>
      <w:r>
        <w:t xml:space="preserve"> </w:t>
      </w:r>
      <w:r w:rsidRPr="00712D39">
        <w:t xml:space="preserve"> – Stamdatamodulet opsamler data fra kilderegistre og udstiller data på NSP</w:t>
      </w:r>
    </w:p>
    <w:p w14:paraId="6E5B2B0F" w14:textId="77777777" w:rsidR="00A626E7" w:rsidRDefault="00A626E7" w:rsidP="00EA65E1">
      <w:r>
        <w:t xml:space="preserve">Adgangen til de data der udstilles via stamdata services er beskyttet af Den Gode Webservice (DGWS), og </w:t>
      </w:r>
      <w:r w:rsidR="00613343">
        <w:t>adgangs</w:t>
      </w:r>
      <w:r w:rsidR="004C4DD5">
        <w:t xml:space="preserve">kontrollen er styret </w:t>
      </w:r>
      <w:r>
        <w:t xml:space="preserve">på </w:t>
      </w:r>
      <w:r w:rsidR="00613343">
        <w:t xml:space="preserve">basis af </w:t>
      </w:r>
      <w:r>
        <w:t>CVR</w:t>
      </w:r>
      <w:r w:rsidR="00613343">
        <w:t>-nummer</w:t>
      </w:r>
      <w:r>
        <w:t>.</w:t>
      </w:r>
    </w:p>
    <w:p w14:paraId="3A8FC746" w14:textId="77777777" w:rsidR="00A626E7" w:rsidRDefault="00A626E7" w:rsidP="00EA65E1"/>
    <w:p w14:paraId="38DCA6C4" w14:textId="77777777" w:rsidR="00A02CA3" w:rsidRDefault="00A02CA3" w:rsidP="00A02CA3">
      <w:pPr>
        <w:pStyle w:val="Overskrift2"/>
      </w:pPr>
      <w:bookmarkStart w:id="4" w:name="_Toc207425801"/>
      <w:r>
        <w:t>Fysisk arkitektur</w:t>
      </w:r>
      <w:bookmarkEnd w:id="4"/>
    </w:p>
    <w:p w14:paraId="03F67AFC" w14:textId="77777777" w:rsidR="00E12AD9" w:rsidRDefault="00A02CA3" w:rsidP="00EA65E1">
      <w:proofErr w:type="spellStart"/>
      <w:r>
        <w:t>DoDi’en</w:t>
      </w:r>
      <w:proofErr w:type="spellEnd"/>
      <w:r>
        <w:t xml:space="preserve"> er lavet på en sådan måde at hver stamdata importer er </w:t>
      </w:r>
      <w:proofErr w:type="spellStart"/>
      <w:r>
        <w:t>deployet</w:t>
      </w:r>
      <w:proofErr w:type="spellEnd"/>
      <w:r>
        <w:t xml:space="preserve"> i sin egen WAR-fil, dette gør at den er let at teste</w:t>
      </w:r>
      <w:r w:rsidR="00E12AD9">
        <w:t>, distribuere og skalere, samtidig skal hver parser inkludere et stamdata-</w:t>
      </w:r>
      <w:proofErr w:type="spellStart"/>
      <w:r w:rsidR="00E12AD9">
        <w:t>core</w:t>
      </w:r>
      <w:proofErr w:type="spellEnd"/>
      <w:r w:rsidR="00E12AD9">
        <w:t xml:space="preserve"> bibliotek (</w:t>
      </w:r>
      <w:proofErr w:type="spellStart"/>
      <w:r w:rsidR="00E12AD9">
        <w:t>jar</w:t>
      </w:r>
      <w:proofErr w:type="spellEnd"/>
      <w:r w:rsidR="00E12AD9">
        <w:t xml:space="preserve"> fil), der sikrer at database håndtering, filhåndtering, konfigurationshåndtering og generel overvågning håndteres på en passende måde af en stamdata importer.</w:t>
      </w:r>
    </w:p>
    <w:p w14:paraId="21D8B77E" w14:textId="77777777" w:rsidR="00E12AD9" w:rsidRDefault="00E12AD9" w:rsidP="00EA65E1">
      <w:r>
        <w:t xml:space="preserve">Stamdata Core bruger JNDI til at slå database forbindelsen op i applikationsserveren, derved sikres at database styring og </w:t>
      </w:r>
      <w:proofErr w:type="spellStart"/>
      <w:r>
        <w:t>pooling</w:t>
      </w:r>
      <w:proofErr w:type="spellEnd"/>
      <w:r>
        <w:t xml:space="preserve"> sker centralt i applikationsserveren.</w:t>
      </w:r>
    </w:p>
    <w:p w14:paraId="12041B1E" w14:textId="77777777" w:rsidR="00A02CA3" w:rsidRDefault="00A02CA3" w:rsidP="00EA65E1">
      <w:r>
        <w:t xml:space="preserve">Den gamle model hvor alle importere var samlet i samme kodebase, og </w:t>
      </w:r>
      <w:proofErr w:type="spellStart"/>
      <w:r>
        <w:t>deployet</w:t>
      </w:r>
      <w:proofErr w:type="spellEnd"/>
      <w:r>
        <w:t xml:space="preserve"> som en WAR-fil viste sig i praksis ikke at være håndterbar</w:t>
      </w:r>
      <w:r w:rsidR="00E12AD9">
        <w:t xml:space="preserve"> at teste og </w:t>
      </w:r>
      <w:proofErr w:type="spellStart"/>
      <w:r w:rsidR="00E12AD9">
        <w:t>drifte</w:t>
      </w:r>
      <w:proofErr w:type="spellEnd"/>
      <w:r>
        <w:t>.</w:t>
      </w:r>
    </w:p>
    <w:p w14:paraId="4291062B" w14:textId="77777777" w:rsidR="00A02CA3" w:rsidRDefault="00E12AD9" w:rsidP="00EA65E1">
      <w:r>
        <w:t>Se nedenstående figur der viser en principskitse af de enkelte stamdata importere.</w:t>
      </w:r>
    </w:p>
    <w:p w14:paraId="50A68945" w14:textId="10C2EABF" w:rsidR="00A02CA3" w:rsidRDefault="004A60D8" w:rsidP="00EA65E1">
      <w:bookmarkStart w:id="5" w:name="_GoBack"/>
      <w:bookmarkEnd w:id="5"/>
      <w:r>
        <w:rPr>
          <w:noProof/>
        </w:rPr>
        <w:lastRenderedPageBreak/>
        <w:pict w14:anchorId="71A23A6D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left:0;text-align:left;margin-left:0;margin-top:296.95pt;width:414.75pt;height:32pt;z-index:251661312;mso-wrap-edited:f;mso-position-horizontal-relative:text;mso-position-vertical-relative:text" wrapcoords="0 0 21600 0 21600 21600 0 21600 0 0" filled="f" stroked="f">
            <v:fill o:detectmouseclick="t"/>
            <v:textbox style="mso-fit-shape-to-text:t" inset="0,0,0,0">
              <w:txbxContent>
                <w:p w14:paraId="77A85B49" w14:textId="4648DC44" w:rsidR="009A7772" w:rsidRPr="009C7A6A" w:rsidRDefault="009A7772" w:rsidP="009B6DC9">
                  <w:pPr>
                    <w:pStyle w:val="Billedtekst"/>
                    <w:rPr>
                      <w:sz w:val="22"/>
                      <w:szCs w:val="22"/>
                    </w:rPr>
                  </w:pPr>
                  <w:r>
                    <w:t xml:space="preserve">Figur </w:t>
                  </w:r>
                  <w:r w:rsidR="004A60D8">
                    <w:fldChar w:fldCharType="begin"/>
                  </w:r>
                  <w:r w:rsidR="004A60D8">
                    <w:instrText xml:space="preserve"> SEQ Figur \* ARABIC </w:instrText>
                  </w:r>
                  <w:r w:rsidR="004A60D8">
                    <w:fldChar w:fldCharType="separate"/>
                  </w:r>
                  <w:r w:rsidR="0014391C">
                    <w:rPr>
                      <w:noProof/>
                    </w:rPr>
                    <w:t>2</w:t>
                  </w:r>
                  <w:r w:rsidR="004A60D8">
                    <w:rPr>
                      <w:noProof/>
                    </w:rPr>
                    <w:fldChar w:fldCharType="end"/>
                  </w:r>
                  <w:r>
                    <w:t xml:space="preserve"> principskitse over stamdata importer WAR filer</w:t>
                  </w:r>
                </w:p>
              </w:txbxContent>
            </v:textbox>
            <w10:wrap type="through"/>
          </v:shape>
        </w:pict>
      </w:r>
      <w:r w:rsidR="00E12AD9" w:rsidRPr="00E12AD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20498F6" wp14:editId="256CE4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7325" cy="3714115"/>
            <wp:effectExtent l="0" t="0" r="0" b="0"/>
            <wp:wrapThrough wrapText="bothSides">
              <wp:wrapPolygon edited="0">
                <wp:start x="0" y="0"/>
                <wp:lineTo x="0" y="21419"/>
                <wp:lineTo x="21457" y="21419"/>
                <wp:lineTo x="21457" y="0"/>
                <wp:lineTo x="0" y="0"/>
              </wp:wrapPolygon>
            </wp:wrapThrough>
            <wp:docPr id="10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CFA41" w14:textId="77777777" w:rsidR="00C30E88" w:rsidRDefault="00C30E88" w:rsidP="00C30E88">
      <w:pPr>
        <w:pStyle w:val="Overskrift1"/>
      </w:pPr>
      <w:bookmarkStart w:id="6" w:name="_Toc207425802"/>
      <w:r>
        <w:lastRenderedPageBreak/>
        <w:t>Logisk Arkitektur</w:t>
      </w:r>
      <w:bookmarkEnd w:id="6"/>
    </w:p>
    <w:p w14:paraId="61494F73" w14:textId="77777777" w:rsidR="00712D39" w:rsidRPr="00367828" w:rsidRDefault="00712D39" w:rsidP="00655489">
      <w:r>
        <w:t xml:space="preserve">Den logiske arkitektur er opdelt i dataindsamling, </w:t>
      </w:r>
      <w:proofErr w:type="spellStart"/>
      <w:r>
        <w:t>replikering</w:t>
      </w:r>
      <w:proofErr w:type="spellEnd"/>
      <w:r>
        <w:t xml:space="preserve"> til NSP instanserne og udstilling af data gennem services. I de følgende afsnit beskrives disse elementer af arkitekturen.</w:t>
      </w:r>
    </w:p>
    <w:p w14:paraId="5479E5B0" w14:textId="77777777" w:rsidR="00C30E88" w:rsidRDefault="007F0CBC" w:rsidP="00C30E88">
      <w:pPr>
        <w:pStyle w:val="Overskrift2"/>
      </w:pPr>
      <w:bookmarkStart w:id="7" w:name="_Toc207425803"/>
      <w:r>
        <w:t xml:space="preserve">Dataindsamling: </w:t>
      </w:r>
      <w:r w:rsidR="00712D39">
        <w:t xml:space="preserve">Stamdata </w:t>
      </w:r>
      <w:r w:rsidR="00C30E88">
        <w:t>Importer</w:t>
      </w:r>
      <w:r w:rsidR="00970365">
        <w:t xml:space="preserve"> og P</w:t>
      </w:r>
      <w:r>
        <w:t>arser</w:t>
      </w:r>
      <w:bookmarkEnd w:id="7"/>
    </w:p>
    <w:p w14:paraId="636D74E4" w14:textId="77777777" w:rsidR="006F4B99" w:rsidRDefault="004C4DD5" w:rsidP="00C30E88">
      <w:r>
        <w:t>Stamdataregistret</w:t>
      </w:r>
      <w:r w:rsidR="00712D39">
        <w:t xml:space="preserve"> </w:t>
      </w:r>
      <w:r w:rsidR="00655489">
        <w:t xml:space="preserve">samler </w:t>
      </w:r>
      <w:r w:rsidR="00712D39">
        <w:t xml:space="preserve">stamdata fra en række kilderegistre hos offentlige myndigheder. </w:t>
      </w:r>
      <w:r w:rsidR="006F4B99">
        <w:t>Indsamlingen af data implementeres i forhold til hvert enkelt kilderegister ved anvendelse af en registerspecifik Parser, men med anvendelse af en fælles Importer</w:t>
      </w:r>
      <w:r w:rsidR="00655489">
        <w:t>-</w:t>
      </w:r>
      <w:r w:rsidR="006F4B99">
        <w:t>komponent.</w:t>
      </w:r>
    </w:p>
    <w:p w14:paraId="792A3481" w14:textId="77777777" w:rsidR="00C30E88" w:rsidRDefault="00C30E88" w:rsidP="00C30E88">
      <w:r>
        <w:t>Importer</w:t>
      </w:r>
      <w:r w:rsidR="00655489">
        <w:t>-</w:t>
      </w:r>
      <w:r>
        <w:t xml:space="preserve">komponenten </w:t>
      </w:r>
      <w:r w:rsidR="00A626E7">
        <w:t xml:space="preserve">kører på </w:t>
      </w:r>
      <w:proofErr w:type="spellStart"/>
      <w:r w:rsidR="00A626E7">
        <w:t>DoDi</w:t>
      </w:r>
      <w:proofErr w:type="spellEnd"/>
      <w:r w:rsidR="00A626E7">
        <w:t xml:space="preserve"> platformen, og er ansvarlig for at indlæse</w:t>
      </w:r>
      <w:r>
        <w:t xml:space="preserve"> dataset fra registerfiler</w:t>
      </w:r>
      <w:r w:rsidR="00A626E7">
        <w:t>, der</w:t>
      </w:r>
      <w:r>
        <w:t xml:space="preserve"> placeres i en dedikeret mappe i filsystemet</w:t>
      </w:r>
      <w:r w:rsidR="006F4B99">
        <w:rPr>
          <w:rStyle w:val="Fodnotehenvisning"/>
        </w:rPr>
        <w:footnoteReference w:id="1"/>
      </w:r>
      <w:r>
        <w:t xml:space="preserve">. Hvert </w:t>
      </w:r>
      <w:r w:rsidR="00A626E7">
        <w:t>register har sin egen dedikerede</w:t>
      </w:r>
      <w:r>
        <w:t xml:space="preserve"> mappe som automatisk bliver oprettet af </w:t>
      </w:r>
      <w:r w:rsidR="00970365">
        <w:t>Importer</w:t>
      </w:r>
      <w:r w:rsidR="00655489">
        <w:t>-</w:t>
      </w:r>
      <w:r>
        <w:t>komponenten.</w:t>
      </w:r>
    </w:p>
    <w:p w14:paraId="632D255C" w14:textId="77777777" w:rsidR="00970365" w:rsidRDefault="00970365" w:rsidP="00C30E88">
      <w:proofErr w:type="spellStart"/>
      <w:r>
        <w:t>Importeren</w:t>
      </w:r>
      <w:proofErr w:type="spellEnd"/>
      <w:r>
        <w:t xml:space="preserve"> overvåger filsystemet og aktiverer de registerspecifikke parsere, når nye registerfiler er tilgængelige i filsystemet.</w:t>
      </w:r>
    </w:p>
    <w:p w14:paraId="55FF14DC" w14:textId="77777777" w:rsidR="00970365" w:rsidRDefault="00970365" w:rsidP="00C30E88">
      <w:r>
        <w:t xml:space="preserve">De respektive parsere </w:t>
      </w:r>
      <w:proofErr w:type="spellStart"/>
      <w:r>
        <w:t>processerer</w:t>
      </w:r>
      <w:proofErr w:type="spellEnd"/>
      <w:r>
        <w:t xml:space="preserve"> registerfilerne og overfører registerdata til den lokale database. </w:t>
      </w:r>
      <w:proofErr w:type="spellStart"/>
      <w:r>
        <w:t>Parsningen</w:t>
      </w:r>
      <w:proofErr w:type="spellEnd"/>
      <w:r>
        <w:t xml:space="preserve"> kan i princippet bestå af en direkte dataoverførsel fra fil til database, men </w:t>
      </w:r>
      <w:r w:rsidR="00655489">
        <w:t xml:space="preserve">indeholder </w:t>
      </w:r>
      <w:r>
        <w:t xml:space="preserve">i de fleste tilfælde forretningslogik, f.eks. transformationer af data og </w:t>
      </w:r>
      <w:proofErr w:type="spellStart"/>
      <w:r>
        <w:t>denormaliseringer</w:t>
      </w:r>
      <w:proofErr w:type="spellEnd"/>
      <w:r>
        <w:t xml:space="preserve">. </w:t>
      </w:r>
    </w:p>
    <w:p w14:paraId="35D01EFA" w14:textId="77777777" w:rsidR="00C30E88" w:rsidRDefault="00C30E88" w:rsidP="00C30E88"/>
    <w:p w14:paraId="15A77407" w14:textId="66B54BB3" w:rsidR="00C30E88" w:rsidRDefault="00C30E88" w:rsidP="00367DD2">
      <w:r>
        <w:t xml:space="preserve">Hver </w:t>
      </w:r>
      <w:r w:rsidR="00367DD2">
        <w:t xml:space="preserve">importer har sin egen mappe, en mappe kan indeholde en undermappe med registerfiler, eller en LOCKED fil. </w:t>
      </w:r>
      <w:proofErr w:type="spellStart"/>
      <w:r w:rsidR="00367DD2">
        <w:t>Importeren</w:t>
      </w:r>
      <w:proofErr w:type="spellEnd"/>
      <w:r w:rsidR="00367DD2">
        <w:t xml:space="preserve"> står og </w:t>
      </w:r>
      <w:proofErr w:type="spellStart"/>
      <w:r w:rsidR="00367DD2">
        <w:t>poller</w:t>
      </w:r>
      <w:proofErr w:type="spellEnd"/>
      <w:r w:rsidR="00367DD2">
        <w:t xml:space="preserve"> dens pågældende undermappe(r) for registerfiler, samhørende registerfiler skal ligge i en mappe for sig selv. Efter en </w:t>
      </w:r>
      <w:proofErr w:type="spellStart"/>
      <w:r w:rsidR="00367DD2">
        <w:t>cooldown</w:t>
      </w:r>
      <w:proofErr w:type="spellEnd"/>
      <w:r w:rsidR="00367DD2">
        <w:t xml:space="preserve"> tid, hvor </w:t>
      </w:r>
      <w:proofErr w:type="spellStart"/>
      <w:r w:rsidR="00367DD2">
        <w:t>importeren</w:t>
      </w:r>
      <w:proofErr w:type="spellEnd"/>
      <w:r w:rsidR="00367DD2">
        <w:t xml:space="preserve"> sikrer at filstørrelser ikke vokser mere bygynder den at parse filerne. Går alt godt bliver undermappen og filerne slettet igen, og data ligger nu i databasen. Går det skidt ligger der en LOCKED fil i </w:t>
      </w:r>
      <w:proofErr w:type="spellStart"/>
      <w:r w:rsidR="00367DD2">
        <w:t>importerens</w:t>
      </w:r>
      <w:proofErr w:type="spellEnd"/>
      <w:r w:rsidR="00367DD2">
        <w:t xml:space="preserve"> mappe – og en fejlbesked vil blive vist på overvågningssiden, når fejlen er udbedret kan LOCKED filen fjernes manuelt og registerfilerne vil så igen blive forsøgt importeret. Eksempel</w:t>
      </w:r>
      <w:r w:rsidR="009A7772">
        <w:t xml:space="preserve"> hvor der er sket en fejl under </w:t>
      </w:r>
      <w:proofErr w:type="spellStart"/>
      <w:r w:rsidR="009A7772">
        <w:t>parsning</w:t>
      </w:r>
      <w:proofErr w:type="spellEnd"/>
      <w:r w:rsidR="009A7772">
        <w:t xml:space="preserve"> af CPR-filer</w:t>
      </w:r>
      <w:r w:rsidR="00367DD2">
        <w:t>:</w:t>
      </w:r>
    </w:p>
    <w:p w14:paraId="0D345EAF" w14:textId="77777777" w:rsidR="00367DD2" w:rsidRDefault="00367DD2" w:rsidP="00367DD2"/>
    <w:p w14:paraId="688B8F67" w14:textId="78F19385" w:rsidR="00367DD2" w:rsidRDefault="00367DD2" w:rsidP="009A7772">
      <w:pPr>
        <w:tabs>
          <w:tab w:val="left" w:pos="2430"/>
        </w:tabs>
      </w:pPr>
      <w:r>
        <w:t xml:space="preserve">Mappe: </w:t>
      </w:r>
      <w:r w:rsidRPr="009A7772">
        <w:rPr>
          <w:rFonts w:ascii="Courier New" w:hAnsi="Courier New" w:cs="Courier New"/>
        </w:rPr>
        <w:t>CPR</w:t>
      </w:r>
    </w:p>
    <w:p w14:paraId="6A6C09F0" w14:textId="4721CFDB" w:rsidR="00367DD2" w:rsidRDefault="00367DD2" w:rsidP="00367DD2">
      <w:pPr>
        <w:pStyle w:val="Listeafsnit"/>
        <w:numPr>
          <w:ilvl w:val="0"/>
          <w:numId w:val="47"/>
        </w:numPr>
      </w:pPr>
      <w:r>
        <w:t xml:space="preserve">Undermappe: </w:t>
      </w:r>
      <w:r w:rsidRPr="009A7772">
        <w:rPr>
          <w:rFonts w:ascii="Courier New" w:hAnsi="Courier New" w:cs="Courier New"/>
        </w:rPr>
        <w:t>20120630</w:t>
      </w:r>
    </w:p>
    <w:p w14:paraId="0B0403B8" w14:textId="21907215" w:rsidR="00367DD2" w:rsidRPr="00367DD2" w:rsidRDefault="00367DD2" w:rsidP="00367DD2">
      <w:pPr>
        <w:pStyle w:val="Listeafsnit"/>
        <w:numPr>
          <w:ilvl w:val="1"/>
          <w:numId w:val="47"/>
        </w:numPr>
        <w:rPr>
          <w:b/>
        </w:rPr>
      </w:pPr>
      <w:r>
        <w:t>Fil 1:</w:t>
      </w:r>
      <w:r w:rsidR="009A7772">
        <w:t xml:space="preserve"> </w:t>
      </w:r>
      <w:r w:rsidR="009A7772" w:rsidRPr="009A7772">
        <w:rPr>
          <w:rFonts w:ascii="Courier New" w:hAnsi="Courier New" w:cs="Courier New"/>
        </w:rPr>
        <w:t>D100312-L431101</w:t>
      </w:r>
    </w:p>
    <w:p w14:paraId="4D094878" w14:textId="0503064E" w:rsidR="00367DD2" w:rsidRPr="009A7772" w:rsidRDefault="00367DD2" w:rsidP="00367DD2">
      <w:pPr>
        <w:pStyle w:val="Listeafsnit"/>
        <w:numPr>
          <w:ilvl w:val="1"/>
          <w:numId w:val="47"/>
        </w:numPr>
        <w:rPr>
          <w:b/>
        </w:rPr>
      </w:pPr>
      <w:r>
        <w:t>Fil 2:</w:t>
      </w:r>
      <w:r w:rsidR="009A7772">
        <w:t xml:space="preserve"> </w:t>
      </w:r>
      <w:r w:rsidR="009A7772" w:rsidRPr="009A7772">
        <w:rPr>
          <w:rFonts w:ascii="Courier New" w:hAnsi="Courier New" w:cs="Courier New"/>
        </w:rPr>
        <w:t>D100312-L431101</w:t>
      </w:r>
    </w:p>
    <w:p w14:paraId="542611EE" w14:textId="533A7764" w:rsidR="009A7772" w:rsidRPr="00367DD2" w:rsidRDefault="009A7772" w:rsidP="009A7772">
      <w:pPr>
        <w:pStyle w:val="Listeafsnit"/>
        <w:numPr>
          <w:ilvl w:val="0"/>
          <w:numId w:val="47"/>
        </w:numPr>
        <w:rPr>
          <w:b/>
        </w:rPr>
      </w:pPr>
      <w:r>
        <w:t xml:space="preserve">Fejl fil: </w:t>
      </w:r>
      <w:r>
        <w:rPr>
          <w:rFonts w:ascii="Courier New" w:hAnsi="Courier New" w:cs="Courier New"/>
        </w:rPr>
        <w:t>LOCKED</w:t>
      </w:r>
    </w:p>
    <w:p w14:paraId="68E0FB5D" w14:textId="68E6BE28" w:rsidR="00C30E88" w:rsidRDefault="004A60D8" w:rsidP="0014391C">
      <w:pPr>
        <w:keepNext/>
        <w:keepLines/>
        <w:rPr>
          <w:b/>
          <w:color w:val="1F497D"/>
          <w:sz w:val="26"/>
        </w:rPr>
      </w:pPr>
      <w:r>
        <w:rPr>
          <w:noProof/>
        </w:rPr>
        <w:lastRenderedPageBreak/>
        <w:pict w14:anchorId="71E4DCBF">
          <v:shape id="_x0000_s1032" type="#_x0000_t202" style="position:absolute;left:0;text-align:left;margin-left:0;margin-top:226.9pt;width:414.65pt;height:32pt;z-index:251665408;mso-wrap-edited:f;mso-position-horizontal-relative:text;mso-position-vertical-relative:text" wrapcoords="0 0 21600 0 21600 21600 0 21600 0 0" filled="f" stroked="f">
            <v:fill o:detectmouseclick="t"/>
            <v:textbox style="mso-next-textbox:#_x0000_s1032;mso-fit-shape-to-text:t" inset="0,0,0,0">
              <w:txbxContent>
                <w:p w14:paraId="73F56EAA" w14:textId="452BC6BA" w:rsidR="0014391C" w:rsidRPr="0014391C" w:rsidRDefault="0014391C" w:rsidP="0014391C">
                  <w:pPr>
                    <w:pStyle w:val="Billedtekst"/>
                  </w:pPr>
                  <w:r>
                    <w:t xml:space="preserve">Figur </w:t>
                  </w:r>
                  <w:r w:rsidR="004A60D8">
                    <w:fldChar w:fldCharType="begin"/>
                  </w:r>
                  <w:r w:rsidR="004A60D8">
                    <w:instrText xml:space="preserve"> SEQ Figur \* ARABIC </w:instrText>
                  </w:r>
                  <w:r w:rsidR="004A60D8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4A60D8">
                    <w:rPr>
                      <w:noProof/>
                    </w:rPr>
                    <w:fldChar w:fldCharType="end"/>
                  </w:r>
                  <w:r>
                    <w:t xml:space="preserve"> Principskitse af et importforløb, hvor en parser aktiveres af </w:t>
                  </w:r>
                  <w:proofErr w:type="spellStart"/>
                  <w:r>
                    <w:t>importeren</w:t>
                  </w:r>
                  <w:proofErr w:type="spellEnd"/>
                </w:p>
              </w:txbxContent>
            </v:textbox>
            <w10:wrap type="through"/>
          </v:shape>
        </w:pict>
      </w:r>
      <w:r w:rsidR="0014391C" w:rsidRPr="0014391C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35B1C4E" wp14:editId="59F45C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055" cy="2824480"/>
            <wp:effectExtent l="0" t="0" r="0" b="0"/>
            <wp:wrapThrough wrapText="bothSides">
              <wp:wrapPolygon edited="0">
                <wp:start x="0" y="0"/>
                <wp:lineTo x="0" y="21367"/>
                <wp:lineTo x="21462" y="21367"/>
                <wp:lineTo x="21462" y="0"/>
                <wp:lineTo x="0" y="0"/>
              </wp:wrapPolygon>
            </wp:wrapThrough>
            <wp:docPr id="13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81493" w14:textId="77777777" w:rsidR="00C70588" w:rsidRDefault="00C70588" w:rsidP="00C30E88">
      <w:pPr>
        <w:pStyle w:val="Overskrift2"/>
      </w:pPr>
      <w:bookmarkStart w:id="8" w:name="_Toc207425804"/>
      <w:proofErr w:type="spellStart"/>
      <w:r>
        <w:t>Replikering</w:t>
      </w:r>
      <w:proofErr w:type="spellEnd"/>
      <w:r>
        <w:t xml:space="preserve"> til NSP instanserne</w:t>
      </w:r>
      <w:bookmarkEnd w:id="8"/>
    </w:p>
    <w:p w14:paraId="28DA138F" w14:textId="77777777" w:rsidR="006074C8" w:rsidRDefault="00C70588" w:rsidP="00655489">
      <w:r>
        <w:t xml:space="preserve">Dataindsamlingen fra kilderegistrene foregår på </w:t>
      </w:r>
      <w:proofErr w:type="spellStart"/>
      <w:r>
        <w:t>DoDi</w:t>
      </w:r>
      <w:proofErr w:type="spellEnd"/>
      <w:r>
        <w:t xml:space="preserve"> (for yderligere information om NSP konceptets komponenter henvises til </w:t>
      </w:r>
      <w:r w:rsidR="006074C8">
        <w:t>den overordnede NSP dokumentation</w:t>
      </w:r>
      <w:r>
        <w:t xml:space="preserve">). </w:t>
      </w:r>
    </w:p>
    <w:p w14:paraId="512D2BB7" w14:textId="77777777" w:rsidR="006074C8" w:rsidRDefault="006074C8" w:rsidP="00655489"/>
    <w:p w14:paraId="4CF2F25B" w14:textId="77777777" w:rsidR="006074C8" w:rsidRDefault="00156EB0" w:rsidP="00156EB0">
      <w:pPr>
        <w:keepNext/>
        <w:spacing w:before="3600"/>
        <w:jc w:val="center"/>
      </w:pPr>
      <w:r w:rsidRPr="00156EB0">
        <w:rPr>
          <w:noProof/>
          <w:lang w:val="en-US"/>
        </w:rPr>
        <w:drawing>
          <wp:inline distT="0" distB="0" distL="0" distR="0" wp14:anchorId="68BFF1A0" wp14:editId="26A5695C">
            <wp:extent cx="5270500" cy="2384685"/>
            <wp:effectExtent l="0" t="0" r="0" b="317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EB0">
        <w:t xml:space="preserve"> </w:t>
      </w:r>
    </w:p>
    <w:p w14:paraId="1F4875F6" w14:textId="77777777" w:rsidR="006074C8" w:rsidRPr="006074C8" w:rsidRDefault="006074C8" w:rsidP="006074C8">
      <w:pPr>
        <w:pStyle w:val="Billedtekst"/>
      </w:pPr>
      <w:bookmarkStart w:id="9" w:name="_Ref184278758"/>
      <w:r>
        <w:t xml:space="preserve">Figur </w:t>
      </w:r>
      <w:r w:rsidR="004A60D8">
        <w:fldChar w:fldCharType="begin"/>
      </w:r>
      <w:r w:rsidR="004A60D8">
        <w:instrText xml:space="preserve"> SEQ Figur \* ARABIC </w:instrText>
      </w:r>
      <w:r w:rsidR="004A60D8">
        <w:fldChar w:fldCharType="separate"/>
      </w:r>
      <w:r w:rsidR="0014391C">
        <w:rPr>
          <w:noProof/>
        </w:rPr>
        <w:t>5</w:t>
      </w:r>
      <w:r w:rsidR="004A60D8">
        <w:rPr>
          <w:noProof/>
        </w:rPr>
        <w:fldChar w:fldCharType="end"/>
      </w:r>
      <w:bookmarkEnd w:id="9"/>
      <w:r>
        <w:t xml:space="preserve"> – </w:t>
      </w:r>
      <w:proofErr w:type="spellStart"/>
      <w:r>
        <w:t>principskite</w:t>
      </w:r>
      <w:proofErr w:type="spellEnd"/>
      <w:r>
        <w:t xml:space="preserve"> af envejs-</w:t>
      </w:r>
      <w:proofErr w:type="spellStart"/>
      <w:r>
        <w:t>replikeringen</w:t>
      </w:r>
      <w:proofErr w:type="spellEnd"/>
      <w:r>
        <w:t xml:space="preserve"> fra </w:t>
      </w:r>
      <w:proofErr w:type="spellStart"/>
      <w:r>
        <w:t>DoDi</w:t>
      </w:r>
      <w:proofErr w:type="spellEnd"/>
      <w:r>
        <w:t xml:space="preserve"> til NSP instanserne</w:t>
      </w:r>
    </w:p>
    <w:p w14:paraId="39E21D3C" w14:textId="77777777" w:rsidR="00C70588" w:rsidRPr="00367828" w:rsidRDefault="00C70588" w:rsidP="006074C8">
      <w:r>
        <w:t xml:space="preserve">Stamdatatabellerne registreres i </w:t>
      </w:r>
      <w:proofErr w:type="spellStart"/>
      <w:r>
        <w:t>NSP’ens</w:t>
      </w:r>
      <w:proofErr w:type="spellEnd"/>
      <w:r>
        <w:t xml:space="preserve"> </w:t>
      </w:r>
      <w:proofErr w:type="spellStart"/>
      <w:r>
        <w:t>replikeringsmekanisme</w:t>
      </w:r>
      <w:proofErr w:type="spellEnd"/>
      <w:r>
        <w:t xml:space="preserve">, og de parsede registerdata </w:t>
      </w:r>
      <w:proofErr w:type="spellStart"/>
      <w:r>
        <w:t>replikeres</w:t>
      </w:r>
      <w:proofErr w:type="spellEnd"/>
      <w:r>
        <w:t xml:space="preserve"> derfor automatisk ud til de enkelte NSP instanser</w:t>
      </w:r>
      <w:r w:rsidR="006074C8">
        <w:t xml:space="preserve"> som illustreret på </w:t>
      </w:r>
      <w:r w:rsidR="0096578C">
        <w:fldChar w:fldCharType="begin"/>
      </w:r>
      <w:r w:rsidR="006074C8">
        <w:instrText xml:space="preserve"> REF _Ref184278758 \h </w:instrText>
      </w:r>
      <w:r w:rsidR="0096578C">
        <w:fldChar w:fldCharType="separate"/>
      </w:r>
      <w:r w:rsidR="00746CAD">
        <w:t xml:space="preserve">Figur </w:t>
      </w:r>
      <w:r w:rsidR="00746CAD">
        <w:rPr>
          <w:noProof/>
        </w:rPr>
        <w:t>3</w:t>
      </w:r>
      <w:r w:rsidR="0096578C">
        <w:fldChar w:fldCharType="end"/>
      </w:r>
      <w:r>
        <w:t>, hvorfra de kan tilgås gennem de udstillede stamdataservices</w:t>
      </w:r>
      <w:r w:rsidR="006074C8">
        <w:t xml:space="preserve"> (ikke illustreret)</w:t>
      </w:r>
      <w:r>
        <w:t xml:space="preserve">. </w:t>
      </w:r>
    </w:p>
    <w:p w14:paraId="27B0C814" w14:textId="77777777" w:rsidR="000418FB" w:rsidRDefault="00BF7F79" w:rsidP="00655489">
      <w:pPr>
        <w:pStyle w:val="Overskrift1"/>
      </w:pPr>
      <w:bookmarkStart w:id="10" w:name="_Toc207425805"/>
      <w:r>
        <w:lastRenderedPageBreak/>
        <w:t>Særlige forhold</w:t>
      </w:r>
      <w:bookmarkEnd w:id="10"/>
    </w:p>
    <w:p w14:paraId="43F85F3D" w14:textId="77777777" w:rsidR="00BF7F79" w:rsidRDefault="00BF7F79" w:rsidP="000418FB">
      <w:r>
        <w:t>Stamdataservicen anvender en række tabeller til at opbevare stamdataregistrene. Disse tabeller er typisk koblet relativt hårdt op mod kilderegistrenes struktur, og tidligere erfaringer ha</w:t>
      </w:r>
      <w:r w:rsidR="00435396">
        <w:t xml:space="preserve">r vist, at der med jævne mellemrum forekommer ændringer i kilderegistrene. Det er derfor forsøgt undgået at andre (NSP) komponenter end stamdataservicen anvender stamdatatabellerne. Hvor andre komponenter har behov for at anvende stamdata internt på NSP, kopieres data ud i separate tabeller, som komponenterne kan bruge i stedet. </w:t>
      </w:r>
    </w:p>
    <w:p w14:paraId="2A6A74F0" w14:textId="77777777" w:rsidR="008B25BC" w:rsidRDefault="00435396" w:rsidP="000418FB">
      <w:r>
        <w:t>På NSP 2.0 anvendes autorisationsregistrets data af STS (til berigelse og verifikation af autorisationsnummer), og der er derfor oprettet en særlig Autorisationstabel til dette formål som illustreret på figuren nedenfor.</w:t>
      </w:r>
    </w:p>
    <w:p w14:paraId="5114E37E" w14:textId="77777777" w:rsidR="00497960" w:rsidRDefault="00497960" w:rsidP="00655489">
      <w:pPr>
        <w:keepNext/>
        <w:keepLines/>
      </w:pPr>
    </w:p>
    <w:p w14:paraId="29683D7B" w14:textId="77777777" w:rsidR="00497960" w:rsidRDefault="00F842C4" w:rsidP="00655489">
      <w:pPr>
        <w:keepNext/>
        <w:keepLines/>
        <w:spacing w:before="3960"/>
        <w:jc w:val="center"/>
      </w:pPr>
      <w:r>
        <w:rPr>
          <w:noProof/>
          <w:lang w:val="en-US"/>
        </w:rPr>
        <w:drawing>
          <wp:inline distT="0" distB="0" distL="0" distR="0" wp14:anchorId="5177CA9A" wp14:editId="7BA455B3">
            <wp:extent cx="4333240" cy="2513965"/>
            <wp:effectExtent l="0" t="0" r="10160" b="635"/>
            <wp:docPr id="3" name="Billede 1" descr="Autorisations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risations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FF5" w14:textId="77777777" w:rsidR="008B25BC" w:rsidRDefault="00497960" w:rsidP="004946E5">
      <w:pPr>
        <w:pStyle w:val="Billedtekst"/>
      </w:pPr>
      <w:r>
        <w:t xml:space="preserve">Figur </w:t>
      </w:r>
      <w:r w:rsidR="004A60D8">
        <w:fldChar w:fldCharType="begin"/>
      </w:r>
      <w:r w:rsidR="004A60D8">
        <w:instrText xml:space="preserve"> SEQ Figur \* ARABIC </w:instrText>
      </w:r>
      <w:r w:rsidR="004A60D8">
        <w:fldChar w:fldCharType="separate"/>
      </w:r>
      <w:r w:rsidR="0014391C">
        <w:rPr>
          <w:noProof/>
        </w:rPr>
        <w:t>10</w:t>
      </w:r>
      <w:r w:rsidR="004A60D8">
        <w:rPr>
          <w:noProof/>
        </w:rPr>
        <w:fldChar w:fldCharType="end"/>
      </w:r>
      <w:r>
        <w:t xml:space="preserve"> </w:t>
      </w:r>
      <w:r w:rsidR="00435396">
        <w:t>– Enkeltopslagsservicen til autorisationsregistret og STS deler datagrundlag.</w:t>
      </w:r>
      <w:r w:rsidR="00435396" w:rsidDel="00435396">
        <w:rPr>
          <w:rStyle w:val="Kommentarhenvisning"/>
        </w:rPr>
        <w:t xml:space="preserve"> </w:t>
      </w:r>
    </w:p>
    <w:p w14:paraId="10072D4B" w14:textId="77777777" w:rsidR="00435396" w:rsidRDefault="00435396" w:rsidP="000418FB"/>
    <w:p w14:paraId="7E614E10" w14:textId="77777777" w:rsidR="00C30E88" w:rsidRDefault="00C30E88" w:rsidP="00DB0324">
      <w:pPr>
        <w:pStyle w:val="Overskrift1"/>
      </w:pPr>
      <w:bookmarkStart w:id="11" w:name="_Toc207425806"/>
      <w:r>
        <w:lastRenderedPageBreak/>
        <w:t>Fysiske Datamodel</w:t>
      </w:r>
      <w:r w:rsidR="00632D36">
        <w:t>ler</w:t>
      </w:r>
      <w:bookmarkEnd w:id="11"/>
    </w:p>
    <w:p w14:paraId="75FCC860" w14:textId="77777777" w:rsidR="00484C96" w:rsidRDefault="00C30E88" w:rsidP="00103CEA">
      <w:r w:rsidRPr="002B6E62">
        <w:t>Datamodel</w:t>
      </w:r>
      <w:r w:rsidR="00147198">
        <w:t>l</w:t>
      </w:r>
      <w:r w:rsidRPr="002B6E62">
        <w:t xml:space="preserve">en for </w:t>
      </w:r>
      <w:r w:rsidR="009D0567">
        <w:t xml:space="preserve">hvert enkelt register i </w:t>
      </w:r>
      <w:r w:rsidR="00BF0594">
        <w:t>Stamdata</w:t>
      </w:r>
      <w:r w:rsidR="009D0567">
        <w:t>servicen</w:t>
      </w:r>
      <w:r w:rsidRPr="002B6E62">
        <w:t xml:space="preserve"> er d</w:t>
      </w:r>
      <w:r w:rsidR="00BF0594">
        <w:t>efineret i bilaget ’</w:t>
      </w:r>
      <w:proofErr w:type="spellStart"/>
      <w:r w:rsidR="00BF0594">
        <w:t>schema.sql</w:t>
      </w:r>
      <w:proofErr w:type="spellEnd"/>
      <w:r w:rsidR="00BF0594">
        <w:t>’.</w:t>
      </w:r>
      <w:r w:rsidR="00484C96">
        <w:t xml:space="preserve"> Nedenfor er </w:t>
      </w:r>
      <w:r w:rsidR="00147198">
        <w:t>registre</w:t>
      </w:r>
      <w:r w:rsidR="009D0567">
        <w:t>ne</w:t>
      </w:r>
      <w:r w:rsidR="00147198">
        <w:t xml:space="preserve"> </w:t>
      </w:r>
      <w:r w:rsidR="00484C96">
        <w:t xml:space="preserve">beskrevet </w:t>
      </w:r>
      <w:r w:rsidR="009D0567">
        <w:t xml:space="preserve">overordnet </w:t>
      </w:r>
      <w:r w:rsidR="00484C96">
        <w:t>i tabelform.</w:t>
      </w:r>
    </w:p>
    <w:p w14:paraId="7DA001C8" w14:textId="77777777" w:rsidR="00BF0594" w:rsidRDefault="00BF0594" w:rsidP="00BF0594">
      <w:pPr>
        <w:pStyle w:val="Overskrift2"/>
      </w:pPr>
      <w:bookmarkStart w:id="12" w:name="_Toc207425807"/>
      <w:r>
        <w:t>Doseringsforslag</w:t>
      </w:r>
      <w:bookmarkEnd w:id="12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406C12" w14:paraId="39C383AF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7E71600C" w14:textId="77777777" w:rsidR="00EE1828" w:rsidRPr="00367828" w:rsidRDefault="00406C12" w:rsidP="00655489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="00EE1828"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5E7E9914" w14:textId="77777777" w:rsidR="00EE1828" w:rsidRPr="003936D1" w:rsidRDefault="00EE1828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406C12" w14:paraId="5F1EB486" w14:textId="77777777" w:rsidTr="00406C12">
        <w:tc>
          <w:tcPr>
            <w:tcW w:w="2022" w:type="pct"/>
            <w:noWrap/>
          </w:tcPr>
          <w:p w14:paraId="1C9FAE3D" w14:textId="77777777" w:rsidR="00EE1828" w:rsidRDefault="00EE1828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DrugDosageStructureRelation</w:t>
            </w:r>
            <w:proofErr w:type="spellEnd"/>
          </w:p>
        </w:tc>
        <w:tc>
          <w:tcPr>
            <w:tcW w:w="2978" w:type="pct"/>
          </w:tcPr>
          <w:p w14:paraId="34EC0F96" w14:textId="77777777" w:rsidR="00EE1828" w:rsidRDefault="00486ED4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r</w:t>
            </w:r>
            <w:r w:rsidR="0080330C">
              <w:rPr>
                <w:rFonts w:asciiTheme="minorHAnsi" w:eastAsiaTheme="minorEastAsia" w:hAnsiTheme="minorHAnsi" w:cstheme="minorBidi"/>
              </w:rPr>
              <w:t>elationsmapning</w:t>
            </w:r>
            <w:proofErr w:type="spellEnd"/>
            <w:r w:rsidR="0080330C">
              <w:rPr>
                <w:rFonts w:asciiTheme="minorHAnsi" w:eastAsiaTheme="minorEastAsia" w:hAnsiTheme="minorHAnsi" w:cstheme="minorBidi"/>
              </w:rPr>
              <w:t xml:space="preserve"> mellem lægemid</w:t>
            </w:r>
            <w:r>
              <w:rPr>
                <w:rFonts w:asciiTheme="minorHAnsi" w:eastAsiaTheme="minorEastAsia" w:hAnsiTheme="minorHAnsi" w:cstheme="minorBidi"/>
              </w:rPr>
              <w:t>ler og deres doseringer.</w:t>
            </w:r>
          </w:p>
        </w:tc>
      </w:tr>
      <w:tr w:rsidR="00406C12" w14:paraId="48BDE55E" w14:textId="77777777" w:rsidTr="00406C12">
        <w:tc>
          <w:tcPr>
            <w:tcW w:w="2022" w:type="pct"/>
            <w:noWrap/>
          </w:tcPr>
          <w:p w14:paraId="38005A03" w14:textId="77777777" w:rsidR="00EE1828" w:rsidRDefault="00EE1828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DosageVersion</w:t>
            </w:r>
            <w:proofErr w:type="spellEnd"/>
          </w:p>
        </w:tc>
        <w:tc>
          <w:tcPr>
            <w:tcW w:w="2978" w:type="pct"/>
          </w:tcPr>
          <w:p w14:paraId="0089FD0F" w14:textId="77777777" w:rsidR="00EE1828" w:rsidRDefault="00486ED4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Løbenumre for </w:t>
            </w:r>
            <w:r w:rsidR="00406C12">
              <w:rPr>
                <w:rFonts w:asciiTheme="minorHAnsi" w:eastAsiaTheme="minorEastAsia" w:hAnsiTheme="minorHAnsi" w:cstheme="minorBidi"/>
              </w:rPr>
              <w:t>registret</w:t>
            </w:r>
            <w:r>
              <w:rPr>
                <w:rFonts w:asciiTheme="minorHAnsi" w:eastAsiaTheme="minorEastAsia" w:hAnsiTheme="minorHAnsi" w:cstheme="minorBidi"/>
              </w:rPr>
              <w:t xml:space="preserve">. Dette kan bruges til at se om man har den nyeste udgave af </w:t>
            </w:r>
            <w:r w:rsidR="00406C12">
              <w:rPr>
                <w:rFonts w:asciiTheme="minorHAnsi" w:eastAsiaTheme="minorEastAsia" w:hAnsiTheme="minorHAnsi" w:cstheme="minorBidi"/>
              </w:rPr>
              <w:t>registret</w:t>
            </w:r>
            <w:r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406C12" w14:paraId="1751F4FE" w14:textId="77777777" w:rsidTr="00406C12">
        <w:tc>
          <w:tcPr>
            <w:tcW w:w="2022" w:type="pct"/>
            <w:noWrap/>
          </w:tcPr>
          <w:p w14:paraId="3815147A" w14:textId="77777777" w:rsidR="00EE1828" w:rsidRDefault="00EE1828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DosageUnit</w:t>
            </w:r>
            <w:proofErr w:type="spellEnd"/>
          </w:p>
        </w:tc>
        <w:tc>
          <w:tcPr>
            <w:tcW w:w="2978" w:type="pct"/>
          </w:tcPr>
          <w:p w14:paraId="1BBF5CA5" w14:textId="77777777" w:rsidR="00EE1828" w:rsidRDefault="0080330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Enheder lægemidler doseres i (tabletter, kapsler, milliliter, …)</w:t>
            </w:r>
            <w:r w:rsidR="00406C12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406C12" w14:paraId="31865D4F" w14:textId="77777777" w:rsidTr="00406C12">
        <w:tc>
          <w:tcPr>
            <w:tcW w:w="2022" w:type="pct"/>
            <w:noWrap/>
          </w:tcPr>
          <w:p w14:paraId="3E307FF4" w14:textId="77777777" w:rsidR="00EE1828" w:rsidRDefault="00EE1828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DosageStructure</w:t>
            </w:r>
            <w:proofErr w:type="spellEnd"/>
          </w:p>
        </w:tc>
        <w:tc>
          <w:tcPr>
            <w:tcW w:w="2978" w:type="pct"/>
          </w:tcPr>
          <w:p w14:paraId="65A978A6" w14:textId="77777777" w:rsidR="00EE1828" w:rsidRDefault="00486ED4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Tider for dosering og størrelser på doserne. </w:t>
            </w:r>
          </w:p>
        </w:tc>
      </w:tr>
      <w:tr w:rsidR="00406C12" w14:paraId="19E36C8A" w14:textId="77777777" w:rsidTr="00406C12">
        <w:tc>
          <w:tcPr>
            <w:tcW w:w="2022" w:type="pct"/>
            <w:noWrap/>
          </w:tcPr>
          <w:p w14:paraId="0AB673D9" w14:textId="77777777" w:rsidR="00EE1828" w:rsidRDefault="00EE1828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DosageDrug</w:t>
            </w:r>
            <w:proofErr w:type="spellEnd"/>
          </w:p>
        </w:tc>
        <w:tc>
          <w:tcPr>
            <w:tcW w:w="2978" w:type="pct"/>
          </w:tcPr>
          <w:p w14:paraId="1486FEA3" w14:textId="77777777" w:rsidR="00EE1828" w:rsidRDefault="0080330C" w:rsidP="0080330C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Lægemid</w:t>
            </w:r>
            <w:r w:rsidR="00486ED4">
              <w:rPr>
                <w:rFonts w:asciiTheme="minorHAnsi" w:eastAsiaTheme="minorEastAsia" w:hAnsiTheme="minorHAnsi" w:cstheme="minorBidi"/>
              </w:rPr>
              <w:t>ler med ATC kode etc.</w:t>
            </w:r>
          </w:p>
        </w:tc>
      </w:tr>
    </w:tbl>
    <w:p w14:paraId="44C79BE3" w14:textId="77777777" w:rsidR="00EE1828" w:rsidRPr="00EE1828" w:rsidRDefault="00EE1828" w:rsidP="00EE1828"/>
    <w:p w14:paraId="38B41E52" w14:textId="77777777" w:rsidR="00227A42" w:rsidRDefault="00227A42" w:rsidP="00227A42">
      <w:pPr>
        <w:pStyle w:val="Overskrift2"/>
      </w:pPr>
      <w:bookmarkStart w:id="13" w:name="_Toc207425808"/>
      <w:r>
        <w:t>CPR-registret</w:t>
      </w:r>
      <w:bookmarkEnd w:id="13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227A42" w14:paraId="20C265A6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70FBF4DF" w14:textId="77777777" w:rsidR="00227A42" w:rsidRDefault="00227A42" w:rsidP="00655489">
            <w:pPr>
              <w:jc w:val="center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</w:rPr>
              <w:t>Tabel</w:t>
            </w:r>
          </w:p>
        </w:tc>
        <w:tc>
          <w:tcPr>
            <w:tcW w:w="2978" w:type="pct"/>
          </w:tcPr>
          <w:p w14:paraId="0CEDFAFD" w14:textId="77777777" w:rsidR="00227A42" w:rsidRDefault="00227A42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227A42" w14:paraId="26D7062D" w14:textId="77777777" w:rsidTr="00655489">
        <w:tc>
          <w:tcPr>
            <w:tcW w:w="2022" w:type="pct"/>
            <w:noWrap/>
          </w:tcPr>
          <w:p w14:paraId="5CC24B73" w14:textId="77777777" w:rsidR="00227A42" w:rsidRDefault="00227A42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Person</w:t>
            </w:r>
          </w:p>
        </w:tc>
        <w:tc>
          <w:tcPr>
            <w:tcW w:w="2978" w:type="pct"/>
          </w:tcPr>
          <w:p w14:paraId="24D552D2" w14:textId="77777777" w:rsidR="00227A42" w:rsidRDefault="008B25B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Navne og adresseoplysninger mm om person i CPR-</w:t>
            </w:r>
            <w:r w:rsidR="00406C12">
              <w:rPr>
                <w:rFonts w:asciiTheme="minorHAnsi" w:eastAsiaTheme="minorEastAsia" w:hAnsiTheme="minorHAnsi" w:cstheme="minorBidi"/>
              </w:rPr>
              <w:t>registret.</w:t>
            </w:r>
          </w:p>
        </w:tc>
      </w:tr>
      <w:tr w:rsidR="00227A42" w14:paraId="1B35C4D6" w14:textId="77777777" w:rsidTr="00655489">
        <w:tc>
          <w:tcPr>
            <w:tcW w:w="2022" w:type="pct"/>
            <w:noWrap/>
          </w:tcPr>
          <w:p w14:paraId="2214B58E" w14:textId="77777777" w:rsidR="00227A42" w:rsidRDefault="00227A42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BarnRelation</w:t>
            </w:r>
            <w:proofErr w:type="spellEnd"/>
          </w:p>
        </w:tc>
        <w:tc>
          <w:tcPr>
            <w:tcW w:w="2978" w:type="pct"/>
          </w:tcPr>
          <w:p w14:paraId="0F85CDD3" w14:textId="77777777" w:rsidR="00227A42" w:rsidRDefault="008B25B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En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relationsmapning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mellem børn og deres forældre</w:t>
            </w:r>
            <w:r w:rsidR="00406C12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227A42" w14:paraId="4814AA49" w14:textId="77777777" w:rsidTr="00655489">
        <w:tc>
          <w:tcPr>
            <w:tcW w:w="2022" w:type="pct"/>
            <w:noWrap/>
          </w:tcPr>
          <w:p w14:paraId="78CD0D85" w14:textId="77777777" w:rsidR="00227A42" w:rsidRDefault="00227A42" w:rsidP="00227A42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ForaeldreMyndighedRelation</w:t>
            </w:r>
            <w:proofErr w:type="spellEnd"/>
          </w:p>
        </w:tc>
        <w:tc>
          <w:tcPr>
            <w:tcW w:w="2978" w:type="pct"/>
          </w:tcPr>
          <w:p w14:paraId="6D8CA7F7" w14:textId="77777777" w:rsidR="00227A42" w:rsidRDefault="008B25B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En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relationsmapning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mellem børn og deres værger</w:t>
            </w:r>
            <w:r w:rsidR="00406C12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227A42" w14:paraId="6C075B96" w14:textId="77777777" w:rsidTr="00655489">
        <w:tc>
          <w:tcPr>
            <w:tcW w:w="2022" w:type="pct"/>
            <w:noWrap/>
          </w:tcPr>
          <w:p w14:paraId="5BD5A096" w14:textId="77777777" w:rsidR="00227A42" w:rsidRDefault="00227A42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UmyndiggoerelseVaergeRelation</w:t>
            </w:r>
            <w:proofErr w:type="spellEnd"/>
          </w:p>
        </w:tc>
        <w:tc>
          <w:tcPr>
            <w:tcW w:w="2978" w:type="pct"/>
          </w:tcPr>
          <w:p w14:paraId="2D7E942D" w14:textId="77777777" w:rsidR="00227A42" w:rsidRDefault="008B25B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En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relationsmapning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mellem umyndiggjorte og deres værger</w:t>
            </w:r>
            <w:r w:rsidR="00406C12">
              <w:rPr>
                <w:rFonts w:asciiTheme="minorHAnsi" w:eastAsiaTheme="minorEastAsia" w:hAnsiTheme="minorHAnsi" w:cstheme="minorBidi"/>
              </w:rPr>
              <w:t>.</w:t>
            </w:r>
          </w:p>
        </w:tc>
      </w:tr>
    </w:tbl>
    <w:p w14:paraId="71517024" w14:textId="77777777" w:rsidR="00227A42" w:rsidRDefault="00227A42" w:rsidP="00227A42"/>
    <w:p w14:paraId="5C480F96" w14:textId="77777777" w:rsidR="0024517C" w:rsidRDefault="0024517C" w:rsidP="0024517C">
      <w:pPr>
        <w:pStyle w:val="Overskrift2"/>
      </w:pPr>
      <w:bookmarkStart w:id="14" w:name="_Toc207425809"/>
      <w:r>
        <w:t>SKS-registret</w:t>
      </w:r>
      <w:bookmarkEnd w:id="14"/>
    </w:p>
    <w:tbl>
      <w:tblPr>
        <w:tblStyle w:val="Lakesidetabel"/>
        <w:tblW w:w="4891" w:type="pct"/>
        <w:tblLook w:val="04A0" w:firstRow="1" w:lastRow="0" w:firstColumn="1" w:lastColumn="0" w:noHBand="0" w:noVBand="1"/>
      </w:tblPr>
      <w:tblGrid>
        <w:gridCol w:w="3369"/>
        <w:gridCol w:w="4961"/>
      </w:tblGrid>
      <w:tr w:rsidR="0024517C" w14:paraId="522C807C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538AC6BB" w14:textId="77777777" w:rsidR="0024517C" w:rsidRDefault="0024517C" w:rsidP="00655489">
            <w:pPr>
              <w:jc w:val="center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</w:rPr>
              <w:t>Tabel</w:t>
            </w:r>
          </w:p>
        </w:tc>
        <w:tc>
          <w:tcPr>
            <w:tcW w:w="2978" w:type="pct"/>
          </w:tcPr>
          <w:p w14:paraId="0DF6DA97" w14:textId="77777777" w:rsidR="0024517C" w:rsidRDefault="0024517C" w:rsidP="00655489">
            <w:pPr>
              <w:jc w:val="center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24517C" w14:paraId="6CCCD371" w14:textId="77777777" w:rsidTr="00655489">
        <w:tc>
          <w:tcPr>
            <w:tcW w:w="2022" w:type="pct"/>
            <w:noWrap/>
          </w:tcPr>
          <w:p w14:paraId="104A06A4" w14:textId="77777777" w:rsidR="0024517C" w:rsidRDefault="0024517C" w:rsidP="001B414D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Organisation</w:t>
            </w:r>
          </w:p>
        </w:tc>
        <w:tc>
          <w:tcPr>
            <w:tcW w:w="2978" w:type="pct"/>
          </w:tcPr>
          <w:p w14:paraId="02ED8325" w14:textId="77777777" w:rsidR="0024517C" w:rsidRDefault="00347581" w:rsidP="001B414D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Referencer mellem SKS-koder og sygehusafdelinger fra SKS-</w:t>
            </w:r>
            <w:r w:rsidR="00406C12">
              <w:rPr>
                <w:rFonts w:asciiTheme="minorHAnsi" w:eastAsiaTheme="minorEastAsia" w:hAnsiTheme="minorHAnsi" w:cstheme="minorBidi"/>
              </w:rPr>
              <w:t>registret</w:t>
            </w:r>
            <w:r>
              <w:rPr>
                <w:rFonts w:asciiTheme="minorHAnsi" w:eastAsiaTheme="minorEastAsia" w:hAnsiTheme="minorHAnsi" w:cstheme="minorBidi"/>
              </w:rPr>
              <w:t>.</w:t>
            </w:r>
          </w:p>
        </w:tc>
      </w:tr>
    </w:tbl>
    <w:p w14:paraId="08D88E51" w14:textId="77777777" w:rsidR="0024517C" w:rsidRPr="0024517C" w:rsidRDefault="0024517C" w:rsidP="0024517C"/>
    <w:p w14:paraId="76D871FE" w14:textId="77777777" w:rsidR="00227A42" w:rsidRDefault="00227A42" w:rsidP="00227A42">
      <w:pPr>
        <w:pStyle w:val="Overskrift2"/>
      </w:pPr>
      <w:bookmarkStart w:id="15" w:name="_Toc207425810"/>
      <w:r>
        <w:t>SOR-registret</w:t>
      </w:r>
      <w:bookmarkEnd w:id="15"/>
    </w:p>
    <w:tbl>
      <w:tblPr>
        <w:tblStyle w:val="Lakesidetabel"/>
        <w:tblW w:w="4891" w:type="pct"/>
        <w:tblLook w:val="04A0" w:firstRow="1" w:lastRow="0" w:firstColumn="1" w:lastColumn="0" w:noHBand="0" w:noVBand="1"/>
      </w:tblPr>
      <w:tblGrid>
        <w:gridCol w:w="3369"/>
        <w:gridCol w:w="4961"/>
      </w:tblGrid>
      <w:tr w:rsidR="00406C12" w14:paraId="342BE1A4" w14:textId="77777777" w:rsidTr="00406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689A22CB" w14:textId="77777777" w:rsidR="00227A42" w:rsidRDefault="00227A42" w:rsidP="00655489">
            <w:pPr>
              <w:jc w:val="center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</w:rPr>
              <w:t>Tabel</w:t>
            </w:r>
          </w:p>
        </w:tc>
        <w:tc>
          <w:tcPr>
            <w:tcW w:w="2978" w:type="pct"/>
          </w:tcPr>
          <w:p w14:paraId="7C35B9F5" w14:textId="77777777" w:rsidR="00227A42" w:rsidRDefault="00227A42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227A42" w14:paraId="62C5E7D3" w14:textId="77777777" w:rsidTr="00655489">
        <w:tc>
          <w:tcPr>
            <w:tcW w:w="2022" w:type="pct"/>
            <w:noWrap/>
          </w:tcPr>
          <w:p w14:paraId="127C3150" w14:textId="77777777" w:rsidR="00227A42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Praksis</w:t>
            </w:r>
          </w:p>
        </w:tc>
        <w:tc>
          <w:tcPr>
            <w:tcW w:w="2978" w:type="pct"/>
          </w:tcPr>
          <w:p w14:paraId="417C90A5" w14:textId="77777777" w:rsidR="00227A42" w:rsidRDefault="008B25B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Tabel over lægepraksis i SOR registret</w:t>
            </w:r>
            <w:r w:rsidR="00406C12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227A42" w14:paraId="2DEFD975" w14:textId="77777777" w:rsidTr="00655489">
        <w:tc>
          <w:tcPr>
            <w:tcW w:w="2022" w:type="pct"/>
            <w:noWrap/>
          </w:tcPr>
          <w:p w14:paraId="5D5B7A58" w14:textId="77777777" w:rsidR="00227A42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SygehusAfdeling</w:t>
            </w:r>
            <w:proofErr w:type="spellEnd"/>
          </w:p>
        </w:tc>
        <w:tc>
          <w:tcPr>
            <w:tcW w:w="2978" w:type="pct"/>
          </w:tcPr>
          <w:p w14:paraId="19716301" w14:textId="77777777" w:rsidR="00227A42" w:rsidRDefault="008B25B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Tabel over sygehusafdelinger i SOR </w:t>
            </w:r>
            <w:r w:rsidR="00406C12">
              <w:rPr>
                <w:rFonts w:asciiTheme="minorHAnsi" w:eastAsiaTheme="minorEastAsia" w:hAnsiTheme="minorHAnsi" w:cstheme="minorBidi"/>
              </w:rPr>
              <w:t>registret.</w:t>
            </w:r>
          </w:p>
        </w:tc>
      </w:tr>
      <w:tr w:rsidR="00227A42" w14:paraId="47814F1E" w14:textId="77777777" w:rsidTr="00655489">
        <w:tc>
          <w:tcPr>
            <w:tcW w:w="2022" w:type="pct"/>
            <w:noWrap/>
          </w:tcPr>
          <w:p w14:paraId="65762AE7" w14:textId="77777777" w:rsidR="00227A42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Apotek</w:t>
            </w:r>
          </w:p>
        </w:tc>
        <w:tc>
          <w:tcPr>
            <w:tcW w:w="2978" w:type="pct"/>
          </w:tcPr>
          <w:p w14:paraId="0158D21D" w14:textId="77777777" w:rsidR="00227A42" w:rsidRDefault="008B25B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Tabel over apoteker i SOR </w:t>
            </w:r>
            <w:r w:rsidR="00406C12">
              <w:rPr>
                <w:rFonts w:asciiTheme="minorHAnsi" w:eastAsiaTheme="minorEastAsia" w:hAnsiTheme="minorHAnsi" w:cstheme="minorBidi"/>
              </w:rPr>
              <w:t>registret.</w:t>
            </w:r>
          </w:p>
        </w:tc>
      </w:tr>
      <w:tr w:rsidR="0024517C" w14:paraId="21AA3B38" w14:textId="77777777" w:rsidTr="00655489">
        <w:tc>
          <w:tcPr>
            <w:tcW w:w="2022" w:type="pct"/>
            <w:noWrap/>
          </w:tcPr>
          <w:p w14:paraId="46C50EA9" w14:textId="77777777" w:rsidR="0024517C" w:rsidRDefault="0024517C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Sygehus</w:t>
            </w:r>
          </w:p>
        </w:tc>
        <w:tc>
          <w:tcPr>
            <w:tcW w:w="2978" w:type="pct"/>
          </w:tcPr>
          <w:p w14:paraId="10D049C1" w14:textId="77777777" w:rsidR="0024517C" w:rsidRDefault="0024517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Tabel o</w:t>
            </w:r>
            <w:r w:rsidR="009D0567">
              <w:rPr>
                <w:rFonts w:asciiTheme="minorHAnsi" w:eastAsiaTheme="minorEastAsia" w:hAnsiTheme="minorHAnsi" w:cstheme="minorBidi"/>
              </w:rPr>
              <w:t>v</w:t>
            </w:r>
            <w:r>
              <w:rPr>
                <w:rFonts w:asciiTheme="minorHAnsi" w:eastAsiaTheme="minorEastAsia" w:hAnsiTheme="minorHAnsi" w:cstheme="minorBidi"/>
              </w:rPr>
              <w:t xml:space="preserve">er sygehuse i SOR </w:t>
            </w:r>
            <w:r w:rsidR="00406C12">
              <w:rPr>
                <w:rFonts w:asciiTheme="minorHAnsi" w:eastAsiaTheme="minorEastAsia" w:hAnsiTheme="minorHAnsi" w:cstheme="minorBidi"/>
              </w:rPr>
              <w:t>registret.</w:t>
            </w:r>
          </w:p>
        </w:tc>
      </w:tr>
    </w:tbl>
    <w:p w14:paraId="1AAE9F79" w14:textId="77777777" w:rsidR="00227A42" w:rsidRPr="00EE1828" w:rsidRDefault="00227A42" w:rsidP="00227A42"/>
    <w:p w14:paraId="3828AD6A" w14:textId="77777777" w:rsidR="00227A42" w:rsidRDefault="00227A42" w:rsidP="00227A42">
      <w:pPr>
        <w:pStyle w:val="Overskrift2"/>
      </w:pPr>
      <w:bookmarkStart w:id="16" w:name="_Toc207425811"/>
      <w:r>
        <w:lastRenderedPageBreak/>
        <w:t>Yderregistret</w:t>
      </w:r>
      <w:bookmarkEnd w:id="16"/>
    </w:p>
    <w:tbl>
      <w:tblPr>
        <w:tblStyle w:val="Lakesidetabel"/>
        <w:tblW w:w="4891" w:type="pct"/>
        <w:tblLook w:val="04A0" w:firstRow="1" w:lastRow="0" w:firstColumn="1" w:lastColumn="0" w:noHBand="0" w:noVBand="1"/>
      </w:tblPr>
      <w:tblGrid>
        <w:gridCol w:w="2055"/>
        <w:gridCol w:w="6275"/>
      </w:tblGrid>
      <w:tr w:rsidR="00227A42" w14:paraId="1903A68C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3" w:type="pct"/>
            <w:noWrap/>
          </w:tcPr>
          <w:p w14:paraId="0B9187CA" w14:textId="77777777" w:rsidR="00227A42" w:rsidRDefault="00227A42" w:rsidP="00655489">
            <w:pPr>
              <w:keepNext/>
              <w:keepLines/>
              <w:jc w:val="center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</w:rPr>
              <w:t>Tabel</w:t>
            </w:r>
          </w:p>
        </w:tc>
        <w:tc>
          <w:tcPr>
            <w:tcW w:w="3767" w:type="pct"/>
          </w:tcPr>
          <w:p w14:paraId="69130069" w14:textId="77777777" w:rsidR="00227A42" w:rsidRDefault="00227A42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227A42" w14:paraId="68014655" w14:textId="77777777" w:rsidTr="00655489">
        <w:tc>
          <w:tcPr>
            <w:tcW w:w="1233" w:type="pct"/>
            <w:noWrap/>
          </w:tcPr>
          <w:p w14:paraId="3C18F9A3" w14:textId="77777777" w:rsidR="00227A42" w:rsidRDefault="00484C96" w:rsidP="00655489">
            <w:pPr>
              <w:keepNext/>
              <w:keepLines/>
              <w:rPr>
                <w:rFonts w:asciiTheme="minorHAnsi" w:eastAsiaTheme="minorEastAsia" w:hAnsiTheme="minorHAnsi" w:cstheme="minorBidi"/>
                <w:b/>
                <w:bCs/>
                <w:iCs/>
              </w:rPr>
            </w:pPr>
            <w:r>
              <w:rPr>
                <w:rFonts w:asciiTheme="minorHAnsi" w:eastAsiaTheme="minorEastAsia" w:hAnsiTheme="minorHAnsi" w:cstheme="minorBidi"/>
              </w:rPr>
              <w:t>Yder</w:t>
            </w:r>
          </w:p>
        </w:tc>
        <w:tc>
          <w:tcPr>
            <w:tcW w:w="3767" w:type="pct"/>
          </w:tcPr>
          <w:p w14:paraId="252DC592" w14:textId="77777777" w:rsidR="00227A42" w:rsidRDefault="00362857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Tabel med ydernumre og stamdata. (Visse er tilknyttet en person andre en klinik.)</w:t>
            </w:r>
          </w:p>
        </w:tc>
      </w:tr>
      <w:tr w:rsidR="00407B7D" w14:paraId="03DF4FFE" w14:textId="77777777" w:rsidTr="00655489">
        <w:tc>
          <w:tcPr>
            <w:tcW w:w="1233" w:type="pct"/>
            <w:noWrap/>
          </w:tcPr>
          <w:p w14:paraId="13F411FC" w14:textId="77777777" w:rsidR="00407B7D" w:rsidRDefault="00407B7D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YderLoebenummer</w:t>
            </w:r>
            <w:proofErr w:type="spellEnd"/>
          </w:p>
        </w:tc>
        <w:tc>
          <w:tcPr>
            <w:tcW w:w="3767" w:type="pct"/>
          </w:tcPr>
          <w:p w14:paraId="1562A1A1" w14:textId="77777777" w:rsidR="00407B7D" w:rsidRDefault="00407B7D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Løbenumre for </w:t>
            </w:r>
            <w:r w:rsidR="00406C12">
              <w:rPr>
                <w:rFonts w:asciiTheme="minorHAnsi" w:eastAsiaTheme="minorEastAsia" w:hAnsiTheme="minorHAnsi" w:cstheme="minorBidi"/>
              </w:rPr>
              <w:t>registret</w:t>
            </w:r>
            <w:r>
              <w:rPr>
                <w:rFonts w:asciiTheme="minorHAnsi" w:eastAsiaTheme="minorEastAsia" w:hAnsiTheme="minorHAnsi" w:cstheme="minorBidi"/>
              </w:rPr>
              <w:t xml:space="preserve">. Dette kan bruges til at se om man har den nyeste udgave af </w:t>
            </w:r>
            <w:r w:rsidR="00406C12">
              <w:rPr>
                <w:rFonts w:asciiTheme="minorHAnsi" w:eastAsiaTheme="minorEastAsia" w:hAnsiTheme="minorHAnsi" w:cstheme="minorBidi"/>
              </w:rPr>
              <w:t>registret</w:t>
            </w:r>
            <w:r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407B7D" w14:paraId="057FB5CB" w14:textId="77777777" w:rsidTr="00655489">
        <w:tc>
          <w:tcPr>
            <w:tcW w:w="1233" w:type="pct"/>
            <w:noWrap/>
          </w:tcPr>
          <w:p w14:paraId="290C8716" w14:textId="77777777" w:rsidR="00407B7D" w:rsidRDefault="00407B7D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YderregisterPerson</w:t>
            </w:r>
            <w:proofErr w:type="spellEnd"/>
          </w:p>
        </w:tc>
        <w:tc>
          <w:tcPr>
            <w:tcW w:w="3767" w:type="pct"/>
          </w:tcPr>
          <w:p w14:paraId="60A7193A" w14:textId="77777777" w:rsidR="00407B7D" w:rsidRDefault="00362857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Personer som er tilknyttet et ydernummer. Der kan være flere personer pr. Ydernummer.</w:t>
            </w:r>
          </w:p>
        </w:tc>
      </w:tr>
      <w:tr w:rsidR="00407B7D" w14:paraId="22AFDE5C" w14:textId="77777777" w:rsidTr="00655489">
        <w:tc>
          <w:tcPr>
            <w:tcW w:w="1233" w:type="pct"/>
            <w:noWrap/>
          </w:tcPr>
          <w:p w14:paraId="0F6DD98E" w14:textId="77777777" w:rsidR="00407B7D" w:rsidRDefault="00407B7D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Yderregister</w:t>
            </w:r>
          </w:p>
        </w:tc>
        <w:tc>
          <w:tcPr>
            <w:tcW w:w="3767" w:type="pct"/>
          </w:tcPr>
          <w:p w14:paraId="043FE7E5" w14:textId="77777777" w:rsidR="00407B7D" w:rsidRDefault="00362857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Tabel med ydernumre og stamdata. (Visse er tilknyttet en person</w:t>
            </w:r>
            <w:r w:rsidR="009D0567">
              <w:rPr>
                <w:rFonts w:asciiTheme="minorHAnsi" w:eastAsiaTheme="minorEastAsia" w:hAnsiTheme="minorHAnsi" w:cstheme="minorBidi"/>
              </w:rPr>
              <w:t>,</w:t>
            </w:r>
            <w:r>
              <w:rPr>
                <w:rFonts w:asciiTheme="minorHAnsi" w:eastAsiaTheme="minorEastAsia" w:hAnsiTheme="minorHAnsi" w:cstheme="minorBidi"/>
              </w:rPr>
              <w:t xml:space="preserve"> andre en klinik.)</w:t>
            </w:r>
          </w:p>
        </w:tc>
      </w:tr>
    </w:tbl>
    <w:p w14:paraId="4FF242AB" w14:textId="77777777" w:rsidR="00227A42" w:rsidRPr="00EE1828" w:rsidRDefault="00227A42" w:rsidP="00227A42"/>
    <w:p w14:paraId="1BF46C65" w14:textId="77777777" w:rsidR="00227A42" w:rsidRDefault="00227A42" w:rsidP="00227A42">
      <w:pPr>
        <w:pStyle w:val="Overskrift2"/>
      </w:pPr>
      <w:bookmarkStart w:id="17" w:name="_Toc207425812"/>
      <w:r>
        <w:t>Autorisationsregistret</w:t>
      </w:r>
      <w:bookmarkEnd w:id="17"/>
    </w:p>
    <w:tbl>
      <w:tblPr>
        <w:tblStyle w:val="Lakesidetabel"/>
        <w:tblW w:w="4891" w:type="pct"/>
        <w:tblLook w:val="04A0" w:firstRow="1" w:lastRow="0" w:firstColumn="1" w:lastColumn="0" w:noHBand="0" w:noVBand="1"/>
      </w:tblPr>
      <w:tblGrid>
        <w:gridCol w:w="1784"/>
        <w:gridCol w:w="6546"/>
      </w:tblGrid>
      <w:tr w:rsidR="00227A42" w14:paraId="2B320AED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1" w:type="pct"/>
            <w:noWrap/>
          </w:tcPr>
          <w:p w14:paraId="0AEF231B" w14:textId="77777777" w:rsidR="00227A42" w:rsidRDefault="00227A42" w:rsidP="00655489">
            <w:pPr>
              <w:jc w:val="center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</w:rPr>
              <w:t>Tabel</w:t>
            </w:r>
          </w:p>
        </w:tc>
        <w:tc>
          <w:tcPr>
            <w:tcW w:w="3929" w:type="pct"/>
          </w:tcPr>
          <w:p w14:paraId="13227011" w14:textId="77777777" w:rsidR="00227A42" w:rsidRDefault="00227A42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227A42" w14:paraId="3C886BAB" w14:textId="77777777" w:rsidTr="00655489">
        <w:tc>
          <w:tcPr>
            <w:tcW w:w="1071" w:type="pct"/>
            <w:noWrap/>
          </w:tcPr>
          <w:p w14:paraId="39D9FC44" w14:textId="77777777" w:rsidR="00227A42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Autorisation</w:t>
            </w:r>
          </w:p>
        </w:tc>
        <w:tc>
          <w:tcPr>
            <w:tcW w:w="3929" w:type="pct"/>
          </w:tcPr>
          <w:p w14:paraId="7AAF9231" w14:textId="77777777" w:rsidR="00227A42" w:rsidRDefault="009553E5" w:rsidP="009553E5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Tabel med autorisationer for sundhedsfaglige personer (læger, kiropraktorer,  mv.)</w:t>
            </w:r>
            <w:r w:rsidR="006D3120">
              <w:rPr>
                <w:rFonts w:asciiTheme="minorHAnsi" w:eastAsiaTheme="minorEastAsia" w:hAnsiTheme="minorHAnsi" w:cstheme="minorBidi"/>
              </w:rPr>
              <w:t>.</w:t>
            </w:r>
          </w:p>
        </w:tc>
      </w:tr>
    </w:tbl>
    <w:p w14:paraId="5897615A" w14:textId="77777777" w:rsidR="00227A42" w:rsidRPr="00EE1828" w:rsidRDefault="00227A42" w:rsidP="00227A42"/>
    <w:p w14:paraId="427E988E" w14:textId="77777777" w:rsidR="00227A42" w:rsidRDefault="00227A42" w:rsidP="00227A42">
      <w:pPr>
        <w:pStyle w:val="Overskrift2"/>
      </w:pPr>
      <w:bookmarkStart w:id="18" w:name="_Toc207425813"/>
      <w:r>
        <w:t>DKMA-registret</w:t>
      </w:r>
      <w:bookmarkEnd w:id="18"/>
    </w:p>
    <w:tbl>
      <w:tblPr>
        <w:tblStyle w:val="Lakesidetabel"/>
        <w:tblW w:w="4891" w:type="pct"/>
        <w:tblLook w:val="04A0" w:firstRow="1" w:lastRow="0" w:firstColumn="1" w:lastColumn="0" w:noHBand="0" w:noVBand="1"/>
      </w:tblPr>
      <w:tblGrid>
        <w:gridCol w:w="4007"/>
        <w:gridCol w:w="4323"/>
      </w:tblGrid>
      <w:tr w:rsidR="00227A42" w14:paraId="68CD22DC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pct"/>
            <w:noWrap/>
          </w:tcPr>
          <w:p w14:paraId="0DAF57C8" w14:textId="77777777" w:rsidR="00227A42" w:rsidRDefault="00227A42" w:rsidP="00655489">
            <w:pPr>
              <w:jc w:val="center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</w:rPr>
              <w:t>Tabel</w:t>
            </w:r>
          </w:p>
        </w:tc>
        <w:tc>
          <w:tcPr>
            <w:tcW w:w="2595" w:type="pct"/>
          </w:tcPr>
          <w:p w14:paraId="1AC73F1E" w14:textId="77777777" w:rsidR="00227A42" w:rsidRDefault="00227A42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227A42" w14:paraId="0AAA0AFA" w14:textId="77777777" w:rsidTr="00655489">
        <w:tc>
          <w:tcPr>
            <w:tcW w:w="2405" w:type="pct"/>
            <w:noWrap/>
          </w:tcPr>
          <w:p w14:paraId="20BF3E45" w14:textId="77777777" w:rsidR="00227A42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Firma</w:t>
            </w:r>
          </w:p>
        </w:tc>
        <w:tc>
          <w:tcPr>
            <w:tcW w:w="2595" w:type="pct"/>
          </w:tcPr>
          <w:p w14:paraId="63C4A991" w14:textId="77777777" w:rsidR="00227A42" w:rsidRDefault="00AB536B" w:rsidP="00AB536B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Liste af leverandøre</w:t>
            </w:r>
            <w:r w:rsidR="006D3120">
              <w:rPr>
                <w:rFonts w:asciiTheme="minorHAnsi" w:eastAsiaTheme="minorEastAsia" w:hAnsiTheme="minorHAnsi" w:cstheme="minorBidi"/>
              </w:rPr>
              <w:t>r</w:t>
            </w:r>
            <w:r>
              <w:rPr>
                <w:rFonts w:asciiTheme="minorHAnsi" w:eastAsiaTheme="minorEastAsia" w:hAnsiTheme="minorHAnsi" w:cstheme="minorBidi"/>
              </w:rPr>
              <w:t xml:space="preserve"> af lægemiddelprodukter</w:t>
            </w:r>
            <w:r w:rsidR="006D3120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227A42" w14:paraId="2EAF3A6D" w14:textId="77777777" w:rsidTr="00655489">
        <w:tc>
          <w:tcPr>
            <w:tcW w:w="2405" w:type="pct"/>
            <w:noWrap/>
          </w:tcPr>
          <w:p w14:paraId="3873D07E" w14:textId="77777777" w:rsidR="00227A42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Formbetegnelse</w:t>
            </w:r>
          </w:p>
        </w:tc>
        <w:tc>
          <w:tcPr>
            <w:tcW w:w="2595" w:type="pct"/>
          </w:tcPr>
          <w:p w14:paraId="4E124A0A" w14:textId="77777777" w:rsidR="00227A42" w:rsidRDefault="00AB536B" w:rsidP="009D0567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Liste af forme</w:t>
            </w:r>
            <w:r w:rsidR="009D0567">
              <w:rPr>
                <w:rFonts w:asciiTheme="minorHAnsi" w:eastAsiaTheme="minorEastAsia" w:hAnsiTheme="minorHAnsi" w:cstheme="minorBidi"/>
              </w:rPr>
              <w:t>n</w:t>
            </w:r>
            <w:r>
              <w:rPr>
                <w:rFonts w:asciiTheme="minorHAnsi" w:eastAsiaTheme="minorEastAsia" w:hAnsiTheme="minorHAnsi" w:cstheme="minorBidi"/>
              </w:rPr>
              <w:t xml:space="preserve"> lægemiddel kan have</w:t>
            </w:r>
            <w:r w:rsidR="006D3120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227A42" w14:paraId="289E8A20" w14:textId="77777777" w:rsidTr="00655489">
        <w:tc>
          <w:tcPr>
            <w:tcW w:w="2405" w:type="pct"/>
            <w:noWrap/>
          </w:tcPr>
          <w:p w14:paraId="13612471" w14:textId="77777777" w:rsidR="00227A42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Indikation</w:t>
            </w:r>
          </w:p>
        </w:tc>
        <w:tc>
          <w:tcPr>
            <w:tcW w:w="2595" w:type="pct"/>
          </w:tcPr>
          <w:p w14:paraId="10BFC969" w14:textId="77777777" w:rsidR="00227A42" w:rsidRDefault="00AB536B" w:rsidP="00367828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Liste af indikationer. </w:t>
            </w:r>
          </w:p>
        </w:tc>
      </w:tr>
      <w:tr w:rsidR="00227A42" w14:paraId="31FCA4E7" w14:textId="77777777" w:rsidTr="00655489">
        <w:tc>
          <w:tcPr>
            <w:tcW w:w="2405" w:type="pct"/>
            <w:noWrap/>
          </w:tcPr>
          <w:p w14:paraId="6525C451" w14:textId="77777777" w:rsidR="00227A42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IndikationATCRef</w:t>
            </w:r>
            <w:proofErr w:type="spellEnd"/>
          </w:p>
        </w:tc>
        <w:tc>
          <w:tcPr>
            <w:tcW w:w="2595" w:type="pct"/>
          </w:tcPr>
          <w:p w14:paraId="74E93755" w14:textId="77777777" w:rsidR="00227A42" w:rsidRDefault="00AB536B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Referencetabel mellem ATC-koder og indikationer.</w:t>
            </w:r>
          </w:p>
        </w:tc>
      </w:tr>
      <w:tr w:rsidR="00227A42" w14:paraId="173271FF" w14:textId="77777777" w:rsidTr="00655489">
        <w:tc>
          <w:tcPr>
            <w:tcW w:w="2405" w:type="pct"/>
            <w:noWrap/>
          </w:tcPr>
          <w:p w14:paraId="444EF07C" w14:textId="77777777" w:rsidR="00227A42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Laegemiddel</w:t>
            </w:r>
            <w:proofErr w:type="spellEnd"/>
          </w:p>
        </w:tc>
        <w:tc>
          <w:tcPr>
            <w:tcW w:w="2595" w:type="pct"/>
          </w:tcPr>
          <w:p w14:paraId="236C923A" w14:textId="77777777" w:rsidR="00227A42" w:rsidRDefault="00362857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Tabel med lægemidler.</w:t>
            </w:r>
          </w:p>
        </w:tc>
      </w:tr>
      <w:tr w:rsidR="00484C96" w14:paraId="75A12DA9" w14:textId="77777777" w:rsidTr="00655489">
        <w:tc>
          <w:tcPr>
            <w:tcW w:w="2405" w:type="pct"/>
            <w:noWrap/>
          </w:tcPr>
          <w:p w14:paraId="054BFC96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LaegemiddelNavn</w:t>
            </w:r>
            <w:proofErr w:type="spellEnd"/>
          </w:p>
        </w:tc>
        <w:tc>
          <w:tcPr>
            <w:tcW w:w="2595" w:type="pct"/>
          </w:tcPr>
          <w:p w14:paraId="4F25BBC4" w14:textId="77777777" w:rsidR="00484C96" w:rsidRDefault="00AB536B" w:rsidP="00AB536B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Uforkortede navn på lægemidler.</w:t>
            </w:r>
          </w:p>
        </w:tc>
      </w:tr>
      <w:tr w:rsidR="00484C96" w14:paraId="060AFAE6" w14:textId="77777777" w:rsidTr="00655489">
        <w:tc>
          <w:tcPr>
            <w:tcW w:w="2405" w:type="pct"/>
            <w:noWrap/>
          </w:tcPr>
          <w:p w14:paraId="436195F8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LaegemiddelAdministrationsvejRef</w:t>
            </w:r>
            <w:proofErr w:type="spellEnd"/>
          </w:p>
        </w:tc>
        <w:tc>
          <w:tcPr>
            <w:tcW w:w="2595" w:type="pct"/>
          </w:tcPr>
          <w:p w14:paraId="11C32263" w14:textId="77777777" w:rsidR="00484C96" w:rsidRDefault="00362857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Mapningstabel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mellem lægemidler og deres administr</w:t>
            </w:r>
            <w:r w:rsidR="006D3120">
              <w:rPr>
                <w:rFonts w:asciiTheme="minorHAnsi" w:eastAsiaTheme="minorEastAsia" w:hAnsiTheme="minorHAnsi" w:cstheme="minorBidi"/>
              </w:rPr>
              <w:t>a</w:t>
            </w:r>
            <w:r>
              <w:rPr>
                <w:rFonts w:asciiTheme="minorHAnsi" w:eastAsiaTheme="minorEastAsia" w:hAnsiTheme="minorHAnsi" w:cstheme="minorBidi"/>
              </w:rPr>
              <w:t>tionsveje.</w:t>
            </w:r>
          </w:p>
        </w:tc>
      </w:tr>
      <w:tr w:rsidR="00484C96" w14:paraId="4085046C" w14:textId="77777777" w:rsidTr="00655489">
        <w:tc>
          <w:tcPr>
            <w:tcW w:w="2405" w:type="pct"/>
            <w:noWrap/>
          </w:tcPr>
          <w:p w14:paraId="6E47EF3E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Klausulering</w:t>
            </w:r>
          </w:p>
        </w:tc>
        <w:tc>
          <w:tcPr>
            <w:tcW w:w="2595" w:type="pct"/>
          </w:tcPr>
          <w:p w14:paraId="58B2055F" w14:textId="77777777" w:rsidR="00484C96" w:rsidRDefault="00AB536B" w:rsidP="00AB536B">
            <w:pPr>
              <w:tabs>
                <w:tab w:val="left" w:pos="1042"/>
              </w:tabs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Klausuleringskode, beregnet til ansøgninger om tilskud til behandling.</w:t>
            </w:r>
          </w:p>
        </w:tc>
      </w:tr>
      <w:tr w:rsidR="00484C96" w14:paraId="545B9F08" w14:textId="77777777" w:rsidTr="00655489">
        <w:tc>
          <w:tcPr>
            <w:tcW w:w="2405" w:type="pct"/>
            <w:noWrap/>
          </w:tcPr>
          <w:p w14:paraId="4A078730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ATC</w:t>
            </w:r>
          </w:p>
        </w:tc>
        <w:tc>
          <w:tcPr>
            <w:tcW w:w="2595" w:type="pct"/>
          </w:tcPr>
          <w:p w14:paraId="1DDA221E" w14:textId="77777777" w:rsidR="00484C96" w:rsidRDefault="00407B7D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ATC koder og tilhørende tekst.</w:t>
            </w:r>
          </w:p>
        </w:tc>
      </w:tr>
      <w:tr w:rsidR="00484C96" w14:paraId="69FBFBF6" w14:textId="77777777" w:rsidTr="00655489">
        <w:tc>
          <w:tcPr>
            <w:tcW w:w="2405" w:type="pct"/>
            <w:noWrap/>
          </w:tcPr>
          <w:p w14:paraId="59F0D058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Medicintilskud</w:t>
            </w:r>
          </w:p>
        </w:tc>
        <w:tc>
          <w:tcPr>
            <w:tcW w:w="2595" w:type="pct"/>
          </w:tcPr>
          <w:p w14:paraId="0675A307" w14:textId="77777777" w:rsidR="00484C96" w:rsidRDefault="00AB536B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Liste med former for medicintilskud.</w:t>
            </w:r>
          </w:p>
        </w:tc>
      </w:tr>
      <w:tr w:rsidR="00484C96" w14:paraId="6FE0A415" w14:textId="77777777" w:rsidTr="00655489">
        <w:tc>
          <w:tcPr>
            <w:tcW w:w="2405" w:type="pct"/>
            <w:noWrap/>
          </w:tcPr>
          <w:p w14:paraId="02FE03F5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Opbevaringsbetingelser</w:t>
            </w:r>
          </w:p>
        </w:tc>
        <w:tc>
          <w:tcPr>
            <w:tcW w:w="2595" w:type="pct"/>
          </w:tcPr>
          <w:p w14:paraId="65EA7D95" w14:textId="77777777" w:rsidR="00484C96" w:rsidRDefault="00AB536B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Liste over forskellige måder medicin skal opbevares på.</w:t>
            </w:r>
          </w:p>
        </w:tc>
      </w:tr>
      <w:tr w:rsidR="00484C96" w14:paraId="0985BE5E" w14:textId="77777777" w:rsidTr="00655489">
        <w:tc>
          <w:tcPr>
            <w:tcW w:w="2405" w:type="pct"/>
            <w:noWrap/>
          </w:tcPr>
          <w:p w14:paraId="18039A24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Pakningskombinationer</w:t>
            </w:r>
          </w:p>
        </w:tc>
        <w:tc>
          <w:tcPr>
            <w:tcW w:w="2595" w:type="pct"/>
          </w:tcPr>
          <w:p w14:paraId="5D3D08C1" w14:textId="77777777" w:rsidR="00484C96" w:rsidRDefault="00D51FD2" w:rsidP="00D51FD2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Tabel med kombinationer af pakninger som kan erstatte hinanden.</w:t>
            </w:r>
          </w:p>
        </w:tc>
      </w:tr>
      <w:tr w:rsidR="00484C96" w14:paraId="1814DDC6" w14:textId="77777777" w:rsidTr="00655489">
        <w:tc>
          <w:tcPr>
            <w:tcW w:w="2405" w:type="pct"/>
            <w:noWrap/>
          </w:tcPr>
          <w:p w14:paraId="6AE4BEFD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OplysningerOmDosisdisponering</w:t>
            </w:r>
            <w:proofErr w:type="spellEnd"/>
          </w:p>
        </w:tc>
        <w:tc>
          <w:tcPr>
            <w:tcW w:w="2595" w:type="pct"/>
          </w:tcPr>
          <w:p w14:paraId="647FDB81" w14:textId="77777777" w:rsidR="00484C96" w:rsidRDefault="00D51FD2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Tabel med info priser og substitutionsoplysninger for dosisdispenserede lægemidler.</w:t>
            </w:r>
          </w:p>
        </w:tc>
      </w:tr>
      <w:tr w:rsidR="00484C96" w14:paraId="51BBA6F9" w14:textId="77777777" w:rsidTr="00655489">
        <w:tc>
          <w:tcPr>
            <w:tcW w:w="2405" w:type="pct"/>
            <w:noWrap/>
          </w:tcPr>
          <w:p w14:paraId="738CBCB5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LaegemiddelDoseringRef</w:t>
            </w:r>
            <w:proofErr w:type="spellEnd"/>
          </w:p>
        </w:tc>
        <w:tc>
          <w:tcPr>
            <w:tcW w:w="2595" w:type="pct"/>
          </w:tcPr>
          <w:p w14:paraId="79306C67" w14:textId="77777777" w:rsidR="00484C96" w:rsidRDefault="00D51FD2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Referencetabel mellem lægemidler og deres dosering.</w:t>
            </w:r>
          </w:p>
        </w:tc>
      </w:tr>
      <w:tr w:rsidR="00484C96" w14:paraId="16C3CB07" w14:textId="77777777" w:rsidTr="00655489">
        <w:tc>
          <w:tcPr>
            <w:tcW w:w="2405" w:type="pct"/>
            <w:noWrap/>
          </w:tcPr>
          <w:p w14:paraId="27018C87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Beregningsregler</w:t>
            </w:r>
          </w:p>
        </w:tc>
        <w:tc>
          <w:tcPr>
            <w:tcW w:w="2595" w:type="pct"/>
          </w:tcPr>
          <w:p w14:paraId="0178EA5E" w14:textId="77777777" w:rsidR="00484C96" w:rsidRDefault="00D51FD2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Info om hvordan en pakning prisberegnes.</w:t>
            </w:r>
          </w:p>
        </w:tc>
      </w:tr>
      <w:tr w:rsidR="00484C96" w14:paraId="7B4BF05C" w14:textId="77777777" w:rsidTr="00655489">
        <w:tc>
          <w:tcPr>
            <w:tcW w:w="2405" w:type="pct"/>
            <w:noWrap/>
          </w:tcPr>
          <w:p w14:paraId="70508BD4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Pakning</w:t>
            </w:r>
          </w:p>
        </w:tc>
        <w:tc>
          <w:tcPr>
            <w:tcW w:w="2595" w:type="pct"/>
          </w:tcPr>
          <w:p w14:paraId="5D1149E0" w14:textId="77777777" w:rsidR="00484C96" w:rsidRDefault="00D51FD2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Tabel med pakninger af lægemidler.</w:t>
            </w:r>
          </w:p>
        </w:tc>
      </w:tr>
      <w:tr w:rsidR="00484C96" w14:paraId="2A418515" w14:textId="77777777" w:rsidTr="00655489">
        <w:tc>
          <w:tcPr>
            <w:tcW w:w="2405" w:type="pct"/>
            <w:noWrap/>
          </w:tcPr>
          <w:p w14:paraId="2B50FF65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PakningskombinationerUdenPriser</w:t>
            </w:r>
            <w:proofErr w:type="spellEnd"/>
          </w:p>
        </w:tc>
        <w:tc>
          <w:tcPr>
            <w:tcW w:w="2595" w:type="pct"/>
          </w:tcPr>
          <w:p w14:paraId="5D6296D6" w14:textId="77777777" w:rsidR="00484C96" w:rsidRDefault="00D51FD2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Tabel med kombinationer af pakninger som kan erstatte hinanden. Indeholder ikke priser.</w:t>
            </w:r>
          </w:p>
        </w:tc>
      </w:tr>
      <w:tr w:rsidR="00484C96" w14:paraId="0026ADEE" w14:textId="77777777" w:rsidTr="00655489">
        <w:tc>
          <w:tcPr>
            <w:tcW w:w="2405" w:type="pct"/>
            <w:noWrap/>
          </w:tcPr>
          <w:p w14:paraId="2E9B3B57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lastRenderedPageBreak/>
              <w:t>EmballagetypeKoder</w:t>
            </w:r>
            <w:proofErr w:type="spellEnd"/>
          </w:p>
        </w:tc>
        <w:tc>
          <w:tcPr>
            <w:tcW w:w="2595" w:type="pct"/>
          </w:tcPr>
          <w:p w14:paraId="144041BD" w14:textId="77777777" w:rsidR="00484C96" w:rsidRDefault="00D51FD2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Forskellige former for </w:t>
            </w:r>
            <w:r w:rsidR="00495455">
              <w:rPr>
                <w:rFonts w:asciiTheme="minorHAnsi" w:eastAsiaTheme="minorEastAsia" w:hAnsiTheme="minorHAnsi" w:cstheme="minorBidi"/>
              </w:rPr>
              <w:t xml:space="preserve">emballage brugt til pakning af lægemidler. </w:t>
            </w:r>
          </w:p>
        </w:tc>
      </w:tr>
      <w:tr w:rsidR="00484C96" w14:paraId="7B27EEDD" w14:textId="77777777" w:rsidTr="00655489">
        <w:tc>
          <w:tcPr>
            <w:tcW w:w="2405" w:type="pct"/>
            <w:noWrap/>
          </w:tcPr>
          <w:p w14:paraId="66EB34C3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PakningsstoerrelsesEnhed</w:t>
            </w:r>
            <w:proofErr w:type="spellEnd"/>
          </w:p>
        </w:tc>
        <w:tc>
          <w:tcPr>
            <w:tcW w:w="2595" w:type="pct"/>
          </w:tcPr>
          <w:p w14:paraId="68540A9C" w14:textId="77777777" w:rsidR="00484C96" w:rsidRDefault="00495455" w:rsidP="00367828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Antallet af enheder der er i en pakning</w:t>
            </w:r>
            <w:r w:rsidR="006D3120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484C96" w14:paraId="6E3F83B4" w14:textId="77777777" w:rsidTr="00655489">
        <w:tc>
          <w:tcPr>
            <w:tcW w:w="2405" w:type="pct"/>
            <w:noWrap/>
          </w:tcPr>
          <w:p w14:paraId="46039F94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SpecialeForNBS</w:t>
            </w:r>
            <w:proofErr w:type="spellEnd"/>
          </w:p>
        </w:tc>
        <w:tc>
          <w:tcPr>
            <w:tcW w:w="2595" w:type="pct"/>
          </w:tcPr>
          <w:p w14:paraId="140DBE05" w14:textId="77777777" w:rsidR="00484C96" w:rsidRDefault="00495455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Liste over specialer et lægemiddel bliver brugt indenfor.</w:t>
            </w:r>
          </w:p>
        </w:tc>
      </w:tr>
      <w:tr w:rsidR="00484C96" w14:paraId="5B709E1E" w14:textId="77777777" w:rsidTr="00655489">
        <w:tc>
          <w:tcPr>
            <w:tcW w:w="2405" w:type="pct"/>
            <w:noWrap/>
          </w:tcPr>
          <w:p w14:paraId="15AC91F2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Priser</w:t>
            </w:r>
          </w:p>
        </w:tc>
        <w:tc>
          <w:tcPr>
            <w:tcW w:w="2595" w:type="pct"/>
          </w:tcPr>
          <w:p w14:paraId="1867A6A4" w14:textId="77777777" w:rsidR="00484C96" w:rsidRDefault="0024517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Udspecificering</w:t>
            </w:r>
            <w:r w:rsidR="00495455">
              <w:rPr>
                <w:rFonts w:asciiTheme="minorHAnsi" w:eastAsiaTheme="minorEastAsia" w:hAnsiTheme="minorHAnsi" w:cstheme="minorBidi"/>
              </w:rPr>
              <w:t xml:space="preserve"> af priser for lægemidler (f.eks. indkøbspris.)</w:t>
            </w:r>
            <w:r w:rsidR="006D3120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484C96" w14:paraId="256EFD69" w14:textId="77777777" w:rsidTr="00655489">
        <w:tc>
          <w:tcPr>
            <w:tcW w:w="2405" w:type="pct"/>
            <w:noWrap/>
          </w:tcPr>
          <w:p w14:paraId="0A6EDC1D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Enhedspriser</w:t>
            </w:r>
          </w:p>
        </w:tc>
        <w:tc>
          <w:tcPr>
            <w:tcW w:w="2595" w:type="pct"/>
          </w:tcPr>
          <w:p w14:paraId="59FEF7A3" w14:textId="77777777" w:rsidR="00484C96" w:rsidRDefault="00495455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Priser for lægemidler. </w:t>
            </w:r>
          </w:p>
        </w:tc>
      </w:tr>
      <w:tr w:rsidR="00484C96" w14:paraId="5801C94D" w14:textId="77777777" w:rsidTr="00655489">
        <w:tc>
          <w:tcPr>
            <w:tcW w:w="2405" w:type="pct"/>
            <w:noWrap/>
          </w:tcPr>
          <w:p w14:paraId="2DFC6CC7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TakstVersion</w:t>
            </w:r>
            <w:proofErr w:type="spellEnd"/>
          </w:p>
        </w:tc>
        <w:tc>
          <w:tcPr>
            <w:tcW w:w="2595" w:type="pct"/>
          </w:tcPr>
          <w:p w14:paraId="47E5DAA5" w14:textId="77777777" w:rsidR="00484C96" w:rsidRDefault="00362857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Løbenumre for </w:t>
            </w:r>
            <w:r w:rsidR="00406C12">
              <w:rPr>
                <w:rFonts w:asciiTheme="minorHAnsi" w:eastAsiaTheme="minorEastAsia" w:hAnsiTheme="minorHAnsi" w:cstheme="minorBidi"/>
              </w:rPr>
              <w:t>registret</w:t>
            </w:r>
            <w:r>
              <w:rPr>
                <w:rFonts w:asciiTheme="minorHAnsi" w:eastAsiaTheme="minorEastAsia" w:hAnsiTheme="minorHAnsi" w:cstheme="minorBidi"/>
              </w:rPr>
              <w:t xml:space="preserve">. Dette kan bruges til at se om man har den nyeste udgave af </w:t>
            </w:r>
            <w:r w:rsidR="00406C12">
              <w:rPr>
                <w:rFonts w:asciiTheme="minorHAnsi" w:eastAsiaTheme="minorEastAsia" w:hAnsiTheme="minorHAnsi" w:cstheme="minorBidi"/>
              </w:rPr>
              <w:t>registret</w:t>
            </w:r>
            <w:r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484C96" w14:paraId="6F951209" w14:textId="77777777" w:rsidTr="00655489">
        <w:tc>
          <w:tcPr>
            <w:tcW w:w="2405" w:type="pct"/>
            <w:noWrap/>
          </w:tcPr>
          <w:p w14:paraId="57947540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Dosering</w:t>
            </w:r>
          </w:p>
        </w:tc>
        <w:tc>
          <w:tcPr>
            <w:tcW w:w="2595" w:type="pct"/>
          </w:tcPr>
          <w:p w14:paraId="7562EFC3" w14:textId="77777777" w:rsidR="00484C96" w:rsidRDefault="00495455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Doseringsforslag fra taksten.</w:t>
            </w:r>
          </w:p>
        </w:tc>
      </w:tr>
      <w:tr w:rsidR="00484C96" w14:paraId="5CB269CC" w14:textId="77777777" w:rsidTr="00655489">
        <w:tc>
          <w:tcPr>
            <w:tcW w:w="2405" w:type="pct"/>
            <w:noWrap/>
          </w:tcPr>
          <w:p w14:paraId="44E1C966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Styrkeenhed</w:t>
            </w:r>
          </w:p>
        </w:tc>
        <w:tc>
          <w:tcPr>
            <w:tcW w:w="2595" w:type="pct"/>
          </w:tcPr>
          <w:p w14:paraId="24F817B6" w14:textId="77777777" w:rsidR="00484C96" w:rsidRDefault="00495455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Den styrke medicinen i en pakning har.</w:t>
            </w:r>
          </w:p>
        </w:tc>
      </w:tr>
      <w:tr w:rsidR="00484C96" w14:paraId="76644BF3" w14:textId="77777777" w:rsidTr="00655489">
        <w:tc>
          <w:tcPr>
            <w:tcW w:w="2405" w:type="pct"/>
            <w:noWrap/>
          </w:tcPr>
          <w:p w14:paraId="4391984B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Rekommandationer</w:t>
            </w:r>
          </w:p>
        </w:tc>
        <w:tc>
          <w:tcPr>
            <w:tcW w:w="2595" w:type="pct"/>
          </w:tcPr>
          <w:p w14:paraId="438C3F46" w14:textId="77777777" w:rsidR="00484C96" w:rsidRDefault="00495455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 referencetabel med noter om et lægemiddel anbefales eller ej.</w:t>
            </w:r>
          </w:p>
        </w:tc>
      </w:tr>
      <w:tr w:rsidR="00484C96" w14:paraId="40E6F68B" w14:textId="77777777" w:rsidTr="00655489">
        <w:tc>
          <w:tcPr>
            <w:tcW w:w="2405" w:type="pct"/>
            <w:noWrap/>
          </w:tcPr>
          <w:p w14:paraId="00C29C39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Substitution</w:t>
            </w:r>
          </w:p>
        </w:tc>
        <w:tc>
          <w:tcPr>
            <w:tcW w:w="2595" w:type="pct"/>
          </w:tcPr>
          <w:p w14:paraId="44EFDC65" w14:textId="77777777" w:rsidR="00484C96" w:rsidRDefault="00495455" w:rsidP="00495455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Tabel</w:t>
            </w:r>
            <w:r w:rsidR="006D3120">
              <w:rPr>
                <w:rFonts w:asciiTheme="minorHAnsi" w:eastAsiaTheme="minorEastAsia" w:hAnsiTheme="minorHAnsi" w:cstheme="minorBidi"/>
              </w:rPr>
              <w:t>l</w:t>
            </w:r>
            <w:r>
              <w:rPr>
                <w:rFonts w:asciiTheme="minorHAnsi" w:eastAsiaTheme="minorEastAsia" w:hAnsiTheme="minorHAnsi" w:cstheme="minorBidi"/>
              </w:rPr>
              <w:t>er over lægemidler som kan substituere hinanden.</w:t>
            </w:r>
          </w:p>
        </w:tc>
      </w:tr>
      <w:tr w:rsidR="00484C96" w14:paraId="5945E585" w14:textId="77777777" w:rsidTr="00655489">
        <w:tc>
          <w:tcPr>
            <w:tcW w:w="2405" w:type="pct"/>
            <w:noWrap/>
          </w:tcPr>
          <w:p w14:paraId="778D0E5B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TilskudsprisgrupperPakningsNiveau</w:t>
            </w:r>
            <w:proofErr w:type="spellEnd"/>
          </w:p>
        </w:tc>
        <w:tc>
          <w:tcPr>
            <w:tcW w:w="2595" w:type="pct"/>
          </w:tcPr>
          <w:p w14:paraId="796CAD6B" w14:textId="77777777" w:rsidR="00484C96" w:rsidRDefault="0024517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Liste over tilskudsgrupper der er knyttet til en pakning.</w:t>
            </w:r>
          </w:p>
        </w:tc>
      </w:tr>
      <w:tr w:rsidR="00484C96" w14:paraId="6CCF5130" w14:textId="77777777" w:rsidTr="00655489">
        <w:tc>
          <w:tcPr>
            <w:tcW w:w="2405" w:type="pct"/>
            <w:noWrap/>
          </w:tcPr>
          <w:p w14:paraId="6982FEB3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SubstitutionAfLaegemidlerUdenFastPris</w:t>
            </w:r>
            <w:proofErr w:type="spellEnd"/>
          </w:p>
        </w:tc>
        <w:tc>
          <w:tcPr>
            <w:tcW w:w="2595" w:type="pct"/>
          </w:tcPr>
          <w:p w14:paraId="6171FBA2" w14:textId="77777777" w:rsidR="00484C96" w:rsidRDefault="0024517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Normale substitutioner er baseret på pris. For lægemidler uden fast pris ligger substitutioner i denne tabel.</w:t>
            </w:r>
          </w:p>
        </w:tc>
      </w:tr>
      <w:tr w:rsidR="00484C96" w14:paraId="295B15DB" w14:textId="77777777" w:rsidTr="00655489">
        <w:tc>
          <w:tcPr>
            <w:tcW w:w="2405" w:type="pct"/>
            <w:noWrap/>
          </w:tcPr>
          <w:p w14:paraId="686A8862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Administrationsvej</w:t>
            </w:r>
          </w:p>
        </w:tc>
        <w:tc>
          <w:tcPr>
            <w:tcW w:w="2595" w:type="pct"/>
          </w:tcPr>
          <w:p w14:paraId="59FF11CF" w14:textId="77777777" w:rsidR="00484C96" w:rsidRDefault="00495455" w:rsidP="00367828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Måden hvorpå et lægemiddel kan administreres.</w:t>
            </w:r>
          </w:p>
        </w:tc>
      </w:tr>
      <w:tr w:rsidR="00484C96" w14:paraId="5AA7525B" w14:textId="77777777" w:rsidTr="00655489">
        <w:tc>
          <w:tcPr>
            <w:tcW w:w="2405" w:type="pct"/>
            <w:noWrap/>
          </w:tcPr>
          <w:p w14:paraId="26623C5D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Tilskudsintervaller</w:t>
            </w:r>
          </w:p>
        </w:tc>
        <w:tc>
          <w:tcPr>
            <w:tcW w:w="2595" w:type="pct"/>
          </w:tcPr>
          <w:p w14:paraId="21B29268" w14:textId="77777777" w:rsidR="00484C96" w:rsidRDefault="0024517C" w:rsidP="0024517C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Nedre og øvre grænser for tilskud til lægemidler.</w:t>
            </w:r>
          </w:p>
        </w:tc>
      </w:tr>
      <w:tr w:rsidR="00484C96" w14:paraId="644FA974" w14:textId="77777777" w:rsidTr="00655489">
        <w:tc>
          <w:tcPr>
            <w:tcW w:w="2405" w:type="pct"/>
            <w:noWrap/>
          </w:tcPr>
          <w:p w14:paraId="600F5E33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UdgaaendeNavne</w:t>
            </w:r>
            <w:proofErr w:type="spellEnd"/>
          </w:p>
        </w:tc>
        <w:tc>
          <w:tcPr>
            <w:tcW w:w="2595" w:type="pct"/>
          </w:tcPr>
          <w:p w14:paraId="489DAF02" w14:textId="77777777" w:rsidR="00484C96" w:rsidRDefault="0024517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Liste af navne for lægemidler som ikke længere findes i taksten.</w:t>
            </w:r>
          </w:p>
        </w:tc>
      </w:tr>
      <w:tr w:rsidR="00484C96" w14:paraId="0E20C7D7" w14:textId="77777777" w:rsidTr="00655489">
        <w:tc>
          <w:tcPr>
            <w:tcW w:w="2405" w:type="pct"/>
            <w:noWrap/>
          </w:tcPr>
          <w:p w14:paraId="5F24BD27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Udleveringsbestemmelser</w:t>
            </w:r>
          </w:p>
        </w:tc>
        <w:tc>
          <w:tcPr>
            <w:tcW w:w="2595" w:type="pct"/>
          </w:tcPr>
          <w:p w14:paraId="1F795E3B" w14:textId="77777777" w:rsidR="00484C96" w:rsidRDefault="00495455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Bestemmelser over hvornår et lægemiddel må udleveres.</w:t>
            </w:r>
          </w:p>
        </w:tc>
      </w:tr>
      <w:tr w:rsidR="00484C96" w14:paraId="54499632" w14:textId="77777777" w:rsidTr="00655489">
        <w:tc>
          <w:tcPr>
            <w:tcW w:w="2405" w:type="pct"/>
            <w:noWrap/>
          </w:tcPr>
          <w:p w14:paraId="1A9F44BF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Indholdsstoffer</w:t>
            </w:r>
          </w:p>
        </w:tc>
        <w:tc>
          <w:tcPr>
            <w:tcW w:w="2595" w:type="pct"/>
          </w:tcPr>
          <w:p w14:paraId="6B1D0B5B" w14:textId="77777777" w:rsidR="00484C96" w:rsidRDefault="00495455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Indholdsstoffer i et lægemiddel.</w:t>
            </w:r>
          </w:p>
        </w:tc>
      </w:tr>
      <w:tr w:rsidR="00484C96" w14:paraId="2D29220C" w14:textId="77777777" w:rsidTr="00655489">
        <w:tc>
          <w:tcPr>
            <w:tcW w:w="2405" w:type="pct"/>
            <w:noWrap/>
          </w:tcPr>
          <w:p w14:paraId="2613EAFC" w14:textId="77777777" w:rsidR="00484C96" w:rsidRDefault="00484C96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Tidsenhed</w:t>
            </w:r>
          </w:p>
        </w:tc>
        <w:tc>
          <w:tcPr>
            <w:tcW w:w="2595" w:type="pct"/>
          </w:tcPr>
          <w:p w14:paraId="652A91D2" w14:textId="77777777" w:rsidR="00484C96" w:rsidRDefault="0024517C" w:rsidP="00486ED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Hvor ofte og hvornår et lægemiddel skal indtages, etc.</w:t>
            </w:r>
          </w:p>
        </w:tc>
      </w:tr>
    </w:tbl>
    <w:p w14:paraId="1E0BEA66" w14:textId="77777777" w:rsidR="00227A42" w:rsidRPr="00EE1828" w:rsidRDefault="00227A42" w:rsidP="00227A42"/>
    <w:p w14:paraId="4A2BFBD5" w14:textId="77777777" w:rsidR="00D35A85" w:rsidRDefault="00D35A85" w:rsidP="00D35A85">
      <w:pPr>
        <w:pStyle w:val="Overskrift2"/>
      </w:pPr>
      <w:bookmarkStart w:id="19" w:name="_Toc207425814"/>
      <w:r>
        <w:lastRenderedPageBreak/>
        <w:t>Bemyndigelser</w:t>
      </w:r>
      <w:bookmarkEnd w:id="19"/>
    </w:p>
    <w:tbl>
      <w:tblPr>
        <w:tblStyle w:val="Lakesidetabel"/>
        <w:tblW w:w="4891" w:type="pct"/>
        <w:tblLook w:val="04A0" w:firstRow="1" w:lastRow="0" w:firstColumn="1" w:lastColumn="0" w:noHBand="0" w:noVBand="1"/>
      </w:tblPr>
      <w:tblGrid>
        <w:gridCol w:w="2054"/>
        <w:gridCol w:w="6276"/>
      </w:tblGrid>
      <w:tr w:rsidR="00D35A85" w14:paraId="5B402CF5" w14:textId="77777777" w:rsidTr="00746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3" w:type="pct"/>
            <w:noWrap/>
          </w:tcPr>
          <w:p w14:paraId="1468FDBD" w14:textId="77777777" w:rsidR="00D35A85" w:rsidRDefault="00D35A85" w:rsidP="00746CAD">
            <w:pPr>
              <w:keepNext/>
              <w:keepLines/>
              <w:jc w:val="center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</w:rPr>
              <w:t>Tabel</w:t>
            </w:r>
          </w:p>
        </w:tc>
        <w:tc>
          <w:tcPr>
            <w:tcW w:w="3767" w:type="pct"/>
          </w:tcPr>
          <w:p w14:paraId="1ADAE998" w14:textId="77777777" w:rsidR="00D35A85" w:rsidRDefault="00D35A85" w:rsidP="00746CAD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D35A85" w14:paraId="76AA5DF7" w14:textId="77777777" w:rsidTr="00746CAD">
        <w:tc>
          <w:tcPr>
            <w:tcW w:w="1233" w:type="pct"/>
            <w:noWrap/>
          </w:tcPr>
          <w:p w14:paraId="48098A72" w14:textId="77777777" w:rsidR="00D35A85" w:rsidRPr="00D35A85" w:rsidRDefault="00D35A85" w:rsidP="00746CAD">
            <w:pPr>
              <w:keepNext/>
              <w:keepLines/>
              <w:rPr>
                <w:rFonts w:eastAsiaTheme="minorEastAsia" w:cs="Arial"/>
                <w:bCs/>
                <w:iCs/>
              </w:rPr>
            </w:pPr>
            <w:r w:rsidRPr="00D35A85">
              <w:rPr>
                <w:rFonts w:eastAsiaTheme="minorEastAsia" w:cs="Arial"/>
                <w:bCs/>
                <w:iCs/>
              </w:rPr>
              <w:t>Bemyndigelse</w:t>
            </w:r>
          </w:p>
        </w:tc>
        <w:tc>
          <w:tcPr>
            <w:tcW w:w="3767" w:type="pct"/>
          </w:tcPr>
          <w:p w14:paraId="31111048" w14:textId="77777777" w:rsidR="00D35A85" w:rsidRPr="00D35A85" w:rsidRDefault="00D35A85" w:rsidP="00746CAD">
            <w:pPr>
              <w:jc w:val="left"/>
              <w:rPr>
                <w:rFonts w:eastAsiaTheme="minorEastAsia" w:cs="Arial"/>
              </w:rPr>
            </w:pPr>
            <w:r w:rsidRPr="00D35A85">
              <w:rPr>
                <w:rFonts w:eastAsiaTheme="minorEastAsia" w:cs="Arial"/>
              </w:rPr>
              <w:t>Tabel med bemyndigelser, indeholdende sundhedsfagligt personels uddelegerede rettigheder</w:t>
            </w:r>
          </w:p>
        </w:tc>
      </w:tr>
    </w:tbl>
    <w:p w14:paraId="00E3B556" w14:textId="77777777" w:rsidR="00D35A85" w:rsidRDefault="00D35A85" w:rsidP="00D35A85">
      <w:pPr>
        <w:pStyle w:val="Overskrift2"/>
      </w:pPr>
      <w:bookmarkStart w:id="20" w:name="_Toc207425815"/>
      <w:r>
        <w:t>SOR-NPI relationer</w:t>
      </w:r>
      <w:bookmarkEnd w:id="20"/>
    </w:p>
    <w:tbl>
      <w:tblPr>
        <w:tblStyle w:val="Lakesidetabel"/>
        <w:tblW w:w="4891" w:type="pct"/>
        <w:tblLook w:val="04A0" w:firstRow="1" w:lastRow="0" w:firstColumn="1" w:lastColumn="0" w:noHBand="0" w:noVBand="1"/>
      </w:tblPr>
      <w:tblGrid>
        <w:gridCol w:w="2760"/>
        <w:gridCol w:w="5570"/>
      </w:tblGrid>
      <w:tr w:rsidR="00D35A85" w14:paraId="60D14FDC" w14:textId="77777777" w:rsidTr="00746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3" w:type="pct"/>
            <w:noWrap/>
          </w:tcPr>
          <w:p w14:paraId="3AB0473C" w14:textId="77777777" w:rsidR="00D35A85" w:rsidRDefault="00D35A85" w:rsidP="00746CAD">
            <w:pPr>
              <w:keepNext/>
              <w:keepLines/>
              <w:jc w:val="center"/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rFonts w:asciiTheme="minorHAnsi" w:eastAsiaTheme="minorEastAsia" w:hAnsiTheme="minorHAnsi" w:cstheme="minorBidi"/>
              </w:rPr>
              <w:t>Tabel</w:t>
            </w:r>
          </w:p>
        </w:tc>
        <w:tc>
          <w:tcPr>
            <w:tcW w:w="3767" w:type="pct"/>
          </w:tcPr>
          <w:p w14:paraId="17A99BF9" w14:textId="77777777" w:rsidR="00D35A85" w:rsidRDefault="00D35A85" w:rsidP="00746CAD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D35A85" w14:paraId="4AD2B9F4" w14:textId="77777777" w:rsidTr="00746CAD">
        <w:tc>
          <w:tcPr>
            <w:tcW w:w="1233" w:type="pct"/>
            <w:noWrap/>
          </w:tcPr>
          <w:p w14:paraId="58F191CC" w14:textId="77777777" w:rsidR="00D35A85" w:rsidRPr="00D35A85" w:rsidRDefault="00D35A85" w:rsidP="00746CAD">
            <w:pPr>
              <w:keepNext/>
              <w:keepLines/>
              <w:rPr>
                <w:rFonts w:eastAsiaTheme="minorEastAsia" w:cs="Arial"/>
                <w:bCs/>
                <w:iCs/>
              </w:rPr>
            </w:pPr>
            <w:proofErr w:type="spellStart"/>
            <w:r w:rsidRPr="00D35A85">
              <w:rPr>
                <w:rFonts w:eastAsiaTheme="minorEastAsia" w:cs="Arial"/>
                <w:bCs/>
                <w:iCs/>
              </w:rPr>
              <w:t>SORRelationer</w:t>
            </w:r>
            <w:proofErr w:type="spellEnd"/>
          </w:p>
        </w:tc>
        <w:tc>
          <w:tcPr>
            <w:tcW w:w="3767" w:type="pct"/>
          </w:tcPr>
          <w:p w14:paraId="46732802" w14:textId="77777777" w:rsidR="00D35A85" w:rsidRPr="00D35A85" w:rsidRDefault="00D35A85" w:rsidP="00746CAD">
            <w:pPr>
              <w:jc w:val="left"/>
              <w:rPr>
                <w:rFonts w:eastAsiaTheme="minorEastAsia" w:cs="Arial"/>
              </w:rPr>
            </w:pPr>
            <w:r w:rsidRPr="00D35A85">
              <w:rPr>
                <w:rFonts w:eastAsiaTheme="minorEastAsia" w:cs="Arial"/>
              </w:rPr>
              <w:t>Tabel med relationer mellem forældre og børn I SOR træet. Tabellen er speciel idet hver eneste node peger på sig selv og alle sine “efterkommere”- Tabellen udstilles ikke via KRS, men bruges kun internt af den kommende samtykkeservice (fra NPI projektet)</w:t>
            </w:r>
          </w:p>
        </w:tc>
      </w:tr>
      <w:tr w:rsidR="00D35A85" w14:paraId="077E8B42" w14:textId="77777777" w:rsidTr="00746CAD">
        <w:tc>
          <w:tcPr>
            <w:tcW w:w="1233" w:type="pct"/>
            <w:noWrap/>
          </w:tcPr>
          <w:p w14:paraId="1134AEB1" w14:textId="77777777" w:rsidR="00D35A85" w:rsidRPr="00D35A85" w:rsidRDefault="00D35A85" w:rsidP="00746CAD">
            <w:pPr>
              <w:rPr>
                <w:rFonts w:eastAsiaTheme="minorEastAsia" w:cs="Arial"/>
              </w:rPr>
            </w:pPr>
            <w:proofErr w:type="spellStart"/>
            <w:r w:rsidRPr="00D35A85">
              <w:rPr>
                <w:rFonts w:eastAsiaTheme="minorEastAsia" w:cs="Arial"/>
              </w:rPr>
              <w:t>SORYderSHAKRelationer</w:t>
            </w:r>
            <w:proofErr w:type="spellEnd"/>
          </w:p>
        </w:tc>
        <w:tc>
          <w:tcPr>
            <w:tcW w:w="3767" w:type="pct"/>
          </w:tcPr>
          <w:p w14:paraId="2D1E891B" w14:textId="77777777" w:rsidR="00D35A85" w:rsidRPr="00D35A85" w:rsidRDefault="00D35A85" w:rsidP="00746CAD">
            <w:pPr>
              <w:jc w:val="left"/>
              <w:rPr>
                <w:rFonts w:eastAsiaTheme="minorEastAsia" w:cs="Arial"/>
              </w:rPr>
            </w:pPr>
            <w:r w:rsidRPr="00D35A85">
              <w:rPr>
                <w:rFonts w:eastAsiaTheme="minorEastAsia" w:cs="Arial"/>
              </w:rPr>
              <w:t xml:space="preserve">Tabel der mapper SOR koder med </w:t>
            </w:r>
            <w:proofErr w:type="spellStart"/>
            <w:r w:rsidRPr="00D35A85">
              <w:rPr>
                <w:rFonts w:eastAsiaTheme="minorEastAsia" w:cs="Arial"/>
              </w:rPr>
              <w:t>SHAKkoder</w:t>
            </w:r>
            <w:proofErr w:type="spellEnd"/>
            <w:r w:rsidRPr="00D35A85">
              <w:rPr>
                <w:rFonts w:eastAsiaTheme="minorEastAsia" w:cs="Arial"/>
              </w:rPr>
              <w:t xml:space="preserve"> og </w:t>
            </w:r>
            <w:proofErr w:type="spellStart"/>
            <w:r w:rsidRPr="00D35A85">
              <w:rPr>
                <w:rFonts w:eastAsiaTheme="minorEastAsia" w:cs="Arial"/>
              </w:rPr>
              <w:t>YDERnumre</w:t>
            </w:r>
            <w:proofErr w:type="spellEnd"/>
            <w:r w:rsidRPr="00D35A85">
              <w:rPr>
                <w:rFonts w:eastAsiaTheme="minorEastAsia" w:cs="Arial"/>
              </w:rPr>
              <w:t xml:space="preserve">, tabellen er </w:t>
            </w:r>
            <w:proofErr w:type="spellStart"/>
            <w:r w:rsidRPr="00D35A85">
              <w:rPr>
                <w:rFonts w:eastAsiaTheme="minorEastAsia" w:cs="Arial"/>
              </w:rPr>
              <w:t>special</w:t>
            </w:r>
            <w:proofErr w:type="spellEnd"/>
            <w:r w:rsidRPr="00D35A85">
              <w:rPr>
                <w:rFonts w:eastAsiaTheme="minorEastAsia" w:cs="Arial"/>
              </w:rPr>
              <w:t xml:space="preserve"> da der ikke er relationer til YDER eller SHAK kolonner, men derimod kun en kolonne der via tekst og tal fortæller type og værdi (eksempelvis: “Yder=82058”eller “SHAK=2034010”) - Tabellen udstilles ikke via KRS, men bruges kun internt af den kommende samtykkeservice (fra NPI projektet)</w:t>
            </w:r>
          </w:p>
        </w:tc>
      </w:tr>
    </w:tbl>
    <w:p w14:paraId="1CB10A2B" w14:textId="77777777" w:rsidR="00BF0594" w:rsidRDefault="00BF0594" w:rsidP="00103CEA"/>
    <w:p w14:paraId="4EDFC705" w14:textId="77777777" w:rsidR="00654335" w:rsidRPr="00CB2508" w:rsidRDefault="00654335" w:rsidP="00654335">
      <w:pPr>
        <w:pStyle w:val="Overskrift1"/>
      </w:pPr>
      <w:bookmarkStart w:id="21" w:name="_Toc263424147"/>
      <w:bookmarkStart w:id="22" w:name="_Toc292960819"/>
      <w:bookmarkStart w:id="23" w:name="_Toc207425816"/>
      <w:r w:rsidRPr="00CB2508">
        <w:lastRenderedPageBreak/>
        <w:t>Ændringslog</w:t>
      </w:r>
      <w:bookmarkEnd w:id="21"/>
      <w:bookmarkEnd w:id="22"/>
      <w:bookmarkEnd w:id="23"/>
    </w:p>
    <w:p w14:paraId="79E2FBE1" w14:textId="77777777" w:rsidR="00654335" w:rsidRPr="00AB7397" w:rsidRDefault="00686AF4" w:rsidP="009D484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AB7397">
        <w:rPr>
          <w:rFonts w:ascii="Arial" w:hAnsi="Arial" w:cs="Arial"/>
          <w:sz w:val="22"/>
          <w:szCs w:val="22"/>
          <w:lang w:val="da-DK"/>
        </w:rPr>
        <w:t>Kilden t</w:t>
      </w:r>
      <w:r w:rsidR="00CD59B2" w:rsidRPr="00AB7397">
        <w:rPr>
          <w:rFonts w:ascii="Arial" w:hAnsi="Arial" w:cs="Arial"/>
          <w:sz w:val="22"/>
          <w:szCs w:val="22"/>
          <w:lang w:val="da-DK"/>
        </w:rPr>
        <w:t xml:space="preserve">il dette dokument kan </w:t>
      </w:r>
      <w:proofErr w:type="spellStart"/>
      <w:r w:rsidR="009D4845">
        <w:rPr>
          <w:rFonts w:ascii="Arial" w:hAnsi="Arial" w:cs="Arial"/>
          <w:sz w:val="22"/>
          <w:szCs w:val="22"/>
          <w:lang w:val="da-DK"/>
        </w:rPr>
        <w:t>kan</w:t>
      </w:r>
      <w:proofErr w:type="spellEnd"/>
      <w:r w:rsidR="009D4845">
        <w:rPr>
          <w:rFonts w:ascii="Arial" w:hAnsi="Arial" w:cs="Arial"/>
          <w:sz w:val="22"/>
          <w:szCs w:val="22"/>
          <w:lang w:val="da-DK"/>
        </w:rPr>
        <w:t xml:space="preserve"> erhverves ved henvendelse til NSP-operatøren.</w:t>
      </w:r>
      <w:r w:rsidR="009D4845" w:rsidRPr="00AB7397" w:rsidDel="009D4845">
        <w:rPr>
          <w:rFonts w:ascii="Arial" w:hAnsi="Arial" w:cs="Arial"/>
          <w:sz w:val="22"/>
          <w:szCs w:val="22"/>
          <w:lang w:val="da-DK"/>
        </w:rPr>
        <w:t xml:space="preserve"> </w:t>
      </w:r>
    </w:p>
    <w:p w14:paraId="13E5EA9D" w14:textId="77777777" w:rsidR="00CD59B2" w:rsidRPr="00CB2508" w:rsidRDefault="00CD59B2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418"/>
      </w:tblGrid>
      <w:tr w:rsidR="00654335" w:rsidRPr="00CB2508" w14:paraId="05B0CDC2" w14:textId="77777777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56E2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11BD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065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25FC947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7FB96050" w14:textId="77777777" w:rsidR="00654335" w:rsidRPr="00AB7397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7EAB771A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24625" w14:textId="77777777" w:rsidR="00654335" w:rsidRPr="00AB7397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45019A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9DBE6" w14:textId="77777777" w:rsidR="00654335" w:rsidRPr="00AB7397" w:rsidRDefault="00654335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CD59B2" w:rsidRPr="00AB7397">
              <w:rPr>
                <w:rFonts w:ascii="Arial" w:hAnsi="Arial" w:cs="Arial"/>
                <w:sz w:val="22"/>
                <w:szCs w:val="22"/>
                <w:lang w:val="da-DK"/>
              </w:rPr>
              <w:t>1-04</w:t>
            </w: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CD59B2" w:rsidRPr="00AB7397">
              <w:rPr>
                <w:rFonts w:ascii="Arial" w:hAnsi="Arial" w:cs="Arial"/>
                <w:sz w:val="22"/>
                <w:szCs w:val="22"/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D41C" w14:textId="77777777" w:rsidR="00654335" w:rsidRPr="00AB7397" w:rsidRDefault="00CD59B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36E993" w14:textId="77777777" w:rsidR="00654335" w:rsidRPr="00AB7397" w:rsidRDefault="00B509A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  <w:tr w:rsidR="000A27ED" w:rsidRPr="00CB2508" w14:paraId="742FF94D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2452" w14:textId="77777777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F2BA4" w14:textId="77777777" w:rsidR="000A27ED" w:rsidRPr="00AB7397" w:rsidRDefault="000A27ED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2011-09-12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A01DA" w14:textId="77777777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Opdateret med CPR tjenester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5E8C8" w14:textId="77777777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  <w:tr w:rsidR="001E3C22" w:rsidRPr="00CB2508" w14:paraId="2B4B92FE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BE519" w14:textId="77777777" w:rsidR="001E3C22" w:rsidRDefault="001E3C2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0E019" w14:textId="77777777" w:rsidR="001E3C22" w:rsidRDefault="001E3C22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2011-10-05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20E33" w14:textId="77777777" w:rsidR="001E3C22" w:rsidRDefault="001E3C2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da-DK"/>
              </w:rPr>
              <w:t>Review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 i forbindelse med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a-DK"/>
              </w:rPr>
              <w:t>release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 af CPR Tjenester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97A2C1" w14:textId="77777777" w:rsidR="001E3C22" w:rsidRDefault="001E3C2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  <w:tr w:rsidR="006D3120" w:rsidRPr="00CB2508" w14:paraId="3A930315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DBB0" w14:textId="77777777" w:rsidR="006D3120" w:rsidRDefault="006D3120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1.2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2B85E" w14:textId="77777777" w:rsidR="006D3120" w:rsidRDefault="006D3120" w:rsidP="009D484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2011-1</w:t>
            </w:r>
            <w:r w:rsidR="009D4845">
              <w:rPr>
                <w:rFonts w:ascii="Arial" w:hAnsi="Arial" w:cs="Arial"/>
                <w:sz w:val="22"/>
                <w:szCs w:val="22"/>
                <w:lang w:val="da-D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9D4845">
              <w:rPr>
                <w:rFonts w:ascii="Arial" w:hAnsi="Arial" w:cs="Arial"/>
                <w:sz w:val="22"/>
                <w:szCs w:val="22"/>
                <w:lang w:val="da-DK"/>
              </w:rPr>
              <w:t>09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7C849" w14:textId="77777777" w:rsidR="006D3120" w:rsidRDefault="006D3120" w:rsidP="00367828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Kvalitetssikring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3B8611" w14:textId="77777777" w:rsidR="006D3120" w:rsidRDefault="006D3120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da-DK"/>
              </w:rPr>
              <w:t>Lakeside</w:t>
            </w:r>
            <w:proofErr w:type="spellEnd"/>
          </w:p>
        </w:tc>
      </w:tr>
      <w:tr w:rsidR="00D35A85" w:rsidRPr="00CB2508" w14:paraId="4EA95BDA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A0C5B" w14:textId="77777777" w:rsidR="00D35A85" w:rsidRDefault="00D35A8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1.3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8BCBA" w14:textId="77777777" w:rsidR="00D35A85" w:rsidRDefault="00D35A85" w:rsidP="009D484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2012-06-19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CF1DB" w14:textId="77777777" w:rsidR="00D35A85" w:rsidRDefault="00D35A85" w:rsidP="00367828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Tilføjet bemyndigelser og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a-DK"/>
              </w:rPr>
              <w:t>npi-sor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 tabeller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F72092" w14:textId="77777777" w:rsidR="00D35A85" w:rsidRDefault="00D35A8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  <w:tr w:rsidR="0014391C" w:rsidRPr="00CB2508" w14:paraId="00BDD83A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39427" w14:textId="0E1CDB93" w:rsidR="0014391C" w:rsidRDefault="0014391C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7872B" w14:textId="574813D9" w:rsidR="0014391C" w:rsidRDefault="0014391C" w:rsidP="009D484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2012-07-03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93EC8" w14:textId="032E3F75" w:rsidR="0014391C" w:rsidRDefault="0014391C" w:rsidP="00367828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Ny version af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a-DK"/>
              </w:rPr>
              <w:t>DoDi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da-DK"/>
              </w:rPr>
              <w:t>, hvor hver importer har sin egen WAR fil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DA6768" w14:textId="204513E4" w:rsidR="0014391C" w:rsidRDefault="0014391C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  <w:tr w:rsidR="004A60D8" w:rsidRPr="00CB2508" w14:paraId="64A55241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9CD76" w14:textId="35516A25" w:rsidR="004A60D8" w:rsidRDefault="004A60D8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BDC05" w14:textId="36171A63" w:rsidR="004A60D8" w:rsidRDefault="004A60D8" w:rsidP="009D484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2012-08-24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46F7A" w14:textId="569EDE7D" w:rsidR="004A60D8" w:rsidRDefault="004A60D8" w:rsidP="00367828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Fjernet al ikke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a-DK"/>
              </w:rPr>
              <w:t>DoDi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 (stamdata importer) specifik dokumentation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E5817D" w14:textId="5192DB5B" w:rsidR="004A60D8" w:rsidRDefault="004A60D8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4A60D8">
              <w:rPr>
                <w:rFonts w:ascii="Arial" w:hAnsi="Arial" w:cs="Arial"/>
                <w:sz w:val="22"/>
                <w:szCs w:val="22"/>
                <w:lang w:val="da-DK"/>
              </w:rPr>
              <w:t>Trifork A/S</w:t>
            </w:r>
          </w:p>
        </w:tc>
      </w:tr>
    </w:tbl>
    <w:p w14:paraId="523599BA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D57651C" w14:textId="77777777" w:rsidR="00D9292A" w:rsidRPr="00D9292A" w:rsidRDefault="00D9292A" w:rsidP="00D9292A"/>
    <w:sectPr w:rsidR="00D9292A" w:rsidRPr="00D9292A" w:rsidSect="0067584C"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D8A63E7" w14:textId="77777777" w:rsidR="009A7772" w:rsidRDefault="009A7772">
      <w:pPr>
        <w:spacing w:line="240" w:lineRule="auto"/>
      </w:pPr>
      <w:r>
        <w:separator/>
      </w:r>
    </w:p>
  </w:endnote>
  <w:endnote w:type="continuationSeparator" w:id="0">
    <w:p w14:paraId="3AC65FBA" w14:textId="77777777" w:rsidR="009A7772" w:rsidRDefault="009A7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ejaVu Sans">
    <w:altName w:val="MS Mincho"/>
    <w:charset w:val="8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F684C" w14:textId="77777777" w:rsidR="009A7772" w:rsidRPr="002F440C" w:rsidRDefault="009A7772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4A60D8">
      <w:rPr>
        <w:rStyle w:val="Sidetal1"/>
        <w:noProof/>
      </w:rPr>
      <w:t>6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4A60D8">
      <w:rPr>
        <w:rStyle w:val="Sidetal1"/>
        <w:noProof/>
      </w:rPr>
      <w:t>13</w:t>
    </w:r>
    <w:r w:rsidRPr="002F440C">
      <w:rPr>
        <w:rStyle w:val="Sidetal1"/>
      </w:rPr>
      <w:fldChar w:fldCharType="end"/>
    </w:r>
  </w:p>
  <w:p w14:paraId="4A512C90" w14:textId="77777777" w:rsidR="009A7772" w:rsidRDefault="009A777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F7936" w14:textId="77777777" w:rsidR="009A7772" w:rsidRDefault="009A7772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4A60D8">
      <w:rPr>
        <w:noProof/>
      </w:rPr>
      <w:t>1</w:t>
    </w:r>
    <w:r>
      <w:rPr>
        <w:noProof/>
      </w:rPr>
      <w:fldChar w:fldCharType="end"/>
    </w:r>
    <w:r>
      <w:t xml:space="preserve"> af </w:t>
    </w:r>
    <w:r w:rsidR="004A60D8">
      <w:fldChar w:fldCharType="begin"/>
    </w:r>
    <w:r w:rsidR="004A60D8">
      <w:instrText xml:space="preserve"> NUMPAGES </w:instrText>
    </w:r>
    <w:r w:rsidR="004A60D8">
      <w:fldChar w:fldCharType="separate"/>
    </w:r>
    <w:r w:rsidR="004A60D8">
      <w:rPr>
        <w:noProof/>
      </w:rPr>
      <w:t>13</w:t>
    </w:r>
    <w:r w:rsidR="004A60D8">
      <w:rPr>
        <w:noProof/>
      </w:rPr>
      <w:fldChar w:fldCharType="end"/>
    </w:r>
  </w:p>
  <w:p w14:paraId="36A9FBA9" w14:textId="77777777" w:rsidR="009A7772" w:rsidRDefault="009A777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A78B979" w14:textId="77777777" w:rsidR="009A7772" w:rsidRDefault="009A7772">
      <w:pPr>
        <w:spacing w:line="240" w:lineRule="auto"/>
      </w:pPr>
      <w:r>
        <w:separator/>
      </w:r>
    </w:p>
  </w:footnote>
  <w:footnote w:type="continuationSeparator" w:id="0">
    <w:p w14:paraId="51F2726A" w14:textId="77777777" w:rsidR="009A7772" w:rsidRDefault="009A7772">
      <w:pPr>
        <w:spacing w:line="240" w:lineRule="auto"/>
      </w:pPr>
      <w:r>
        <w:continuationSeparator/>
      </w:r>
    </w:p>
  </w:footnote>
  <w:footnote w:id="1">
    <w:p w14:paraId="1F7631D9" w14:textId="77777777" w:rsidR="009A7772" w:rsidRDefault="009A7772">
      <w:pPr>
        <w:pStyle w:val="Fodnotetekst"/>
      </w:pPr>
      <w:r>
        <w:rPr>
          <w:rStyle w:val="Fodnotehenvisning"/>
        </w:rPr>
        <w:footnoteRef/>
      </w:r>
      <w:r>
        <w:t xml:space="preserve"> For </w:t>
      </w:r>
      <w:r w:rsidRPr="00367828">
        <w:t>hvert</w:t>
      </w:r>
      <w:r>
        <w:t xml:space="preserve"> register implementeres en transportløsning (f.eks. FTP som push eller </w:t>
      </w:r>
      <w:proofErr w:type="spellStart"/>
      <w:r>
        <w:t>pull</w:t>
      </w:r>
      <w:proofErr w:type="spellEnd"/>
      <w:r>
        <w:t>), der har som opgave at overføre ”rå” registerdata fra kilderegistret til NSP platformen.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B85F7" w14:textId="77777777" w:rsidR="009A7772" w:rsidRDefault="009A7772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3755CD45" wp14:editId="71B09CA4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FAF2295" w14:textId="77777777" w:rsidR="009A7772" w:rsidRDefault="009A7772" w:rsidP="00C6206D">
    <w:pPr>
      <w:jc w:val="left"/>
    </w:pPr>
  </w:p>
  <w:p w14:paraId="1CCE7D68" w14:textId="77777777" w:rsidR="009A7772" w:rsidRDefault="009A7772" w:rsidP="00C6206D">
    <w:pPr>
      <w:pBdr>
        <w:bottom w:val="single" w:sz="4" w:space="1" w:color="auto"/>
      </w:pBdr>
      <w:jc w:val="left"/>
    </w:pPr>
  </w:p>
  <w:p w14:paraId="38ADB900" w14:textId="77777777" w:rsidR="009A7772" w:rsidRDefault="009A7772" w:rsidP="00C6206D">
    <w:pPr>
      <w:pBdr>
        <w:bottom w:val="single" w:sz="4" w:space="1" w:color="auto"/>
      </w:pBdr>
      <w:jc w:val="left"/>
    </w:pPr>
  </w:p>
  <w:p w14:paraId="7B9F1401" w14:textId="77777777" w:rsidR="009A7772" w:rsidRDefault="009A777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6435651"/>
    <w:multiLevelType w:val="hybridMultilevel"/>
    <w:tmpl w:val="A878AD40"/>
    <w:lvl w:ilvl="0" w:tplc="65D2A7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A2BF1"/>
    <w:multiLevelType w:val="hybridMultilevel"/>
    <w:tmpl w:val="FAB4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7916F82"/>
    <w:multiLevelType w:val="hybridMultilevel"/>
    <w:tmpl w:val="8140FE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C221BF4"/>
    <w:multiLevelType w:val="hybridMultilevel"/>
    <w:tmpl w:val="06F43F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A924F56"/>
    <w:multiLevelType w:val="hybridMultilevel"/>
    <w:tmpl w:val="CB68F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5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9A0CAE"/>
    <w:multiLevelType w:val="hybridMultilevel"/>
    <w:tmpl w:val="228A6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6020F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9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4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C716000"/>
    <w:multiLevelType w:val="hybridMultilevel"/>
    <w:tmpl w:val="1CE03314"/>
    <w:lvl w:ilvl="0" w:tplc="F418E1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8F0C0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7D06049"/>
    <w:multiLevelType w:val="hybridMultilevel"/>
    <w:tmpl w:val="166A3C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924E92"/>
    <w:multiLevelType w:val="hybridMultilevel"/>
    <w:tmpl w:val="C3B20AA6"/>
    <w:lvl w:ilvl="0" w:tplc="9990D01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A8500E"/>
    <w:multiLevelType w:val="multilevel"/>
    <w:tmpl w:val="C0724F60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2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72E0345"/>
    <w:multiLevelType w:val="hybridMultilevel"/>
    <w:tmpl w:val="CA5827C2"/>
    <w:lvl w:ilvl="0" w:tplc="258E2E76">
      <w:start w:val="16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6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4"/>
  </w:num>
  <w:num w:numId="3">
    <w:abstractNumId w:val="33"/>
  </w:num>
  <w:num w:numId="4">
    <w:abstractNumId w:val="16"/>
  </w:num>
  <w:num w:numId="5">
    <w:abstractNumId w:val="32"/>
  </w:num>
  <w:num w:numId="6">
    <w:abstractNumId w:val="31"/>
  </w:num>
  <w:num w:numId="7">
    <w:abstractNumId w:val="22"/>
  </w:num>
  <w:num w:numId="8">
    <w:abstractNumId w:val="26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4"/>
  </w:num>
  <w:num w:numId="20">
    <w:abstractNumId w:val="25"/>
  </w:num>
  <w:num w:numId="21">
    <w:abstractNumId w:val="36"/>
  </w:num>
  <w:num w:numId="22">
    <w:abstractNumId w:val="34"/>
  </w:num>
  <w:num w:numId="23">
    <w:abstractNumId w:val="20"/>
  </w:num>
  <w:num w:numId="24">
    <w:abstractNumId w:val="30"/>
  </w:num>
  <w:num w:numId="25">
    <w:abstractNumId w:val="42"/>
  </w:num>
  <w:num w:numId="26">
    <w:abstractNumId w:val="43"/>
  </w:num>
  <w:num w:numId="27">
    <w:abstractNumId w:val="29"/>
  </w:num>
  <w:num w:numId="28">
    <w:abstractNumId w:val="38"/>
  </w:num>
  <w:num w:numId="29">
    <w:abstractNumId w:val="46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21"/>
  </w:num>
  <w:num w:numId="36">
    <w:abstractNumId w:val="19"/>
  </w:num>
  <w:num w:numId="37">
    <w:abstractNumId w:val="28"/>
  </w:num>
  <w:num w:numId="38">
    <w:abstractNumId w:val="37"/>
  </w:num>
  <w:num w:numId="39">
    <w:abstractNumId w:val="41"/>
  </w:num>
  <w:num w:numId="40">
    <w:abstractNumId w:val="40"/>
  </w:num>
  <w:num w:numId="41">
    <w:abstractNumId w:val="17"/>
  </w:num>
  <w:num w:numId="42">
    <w:abstractNumId w:val="18"/>
  </w:num>
  <w:num w:numId="43">
    <w:abstractNumId w:val="27"/>
  </w:num>
  <w:num w:numId="44">
    <w:abstractNumId w:val="23"/>
  </w:num>
  <w:num w:numId="45">
    <w:abstractNumId w:val="39"/>
  </w:num>
  <w:num w:numId="46">
    <w:abstractNumId w:val="35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1BF7"/>
    <w:rsid w:val="00030603"/>
    <w:rsid w:val="000418FB"/>
    <w:rsid w:val="00044973"/>
    <w:rsid w:val="00044DAC"/>
    <w:rsid w:val="00070537"/>
    <w:rsid w:val="000A27ED"/>
    <w:rsid w:val="000B25E3"/>
    <w:rsid w:val="001007C1"/>
    <w:rsid w:val="00103CEA"/>
    <w:rsid w:val="001053D8"/>
    <w:rsid w:val="0014391C"/>
    <w:rsid w:val="00147198"/>
    <w:rsid w:val="00156EB0"/>
    <w:rsid w:val="00165144"/>
    <w:rsid w:val="001827E9"/>
    <w:rsid w:val="001B23FB"/>
    <w:rsid w:val="001B414D"/>
    <w:rsid w:val="001B7FAC"/>
    <w:rsid w:val="001E1A77"/>
    <w:rsid w:val="001E3C22"/>
    <w:rsid w:val="001E4E60"/>
    <w:rsid w:val="00202157"/>
    <w:rsid w:val="00222F44"/>
    <w:rsid w:val="00225DAB"/>
    <w:rsid w:val="00227A42"/>
    <w:rsid w:val="00235D23"/>
    <w:rsid w:val="00241938"/>
    <w:rsid w:val="0024517C"/>
    <w:rsid w:val="002749CA"/>
    <w:rsid w:val="0027528C"/>
    <w:rsid w:val="002910C6"/>
    <w:rsid w:val="00292379"/>
    <w:rsid w:val="00292CFD"/>
    <w:rsid w:val="002B04ED"/>
    <w:rsid w:val="002D4E3B"/>
    <w:rsid w:val="002D7AF6"/>
    <w:rsid w:val="002E14C9"/>
    <w:rsid w:val="002E20F0"/>
    <w:rsid w:val="002F6117"/>
    <w:rsid w:val="00304F8A"/>
    <w:rsid w:val="00323074"/>
    <w:rsid w:val="003412F6"/>
    <w:rsid w:val="00347581"/>
    <w:rsid w:val="00362857"/>
    <w:rsid w:val="00367828"/>
    <w:rsid w:val="00367DD2"/>
    <w:rsid w:val="003936D1"/>
    <w:rsid w:val="003D286D"/>
    <w:rsid w:val="003F6759"/>
    <w:rsid w:val="004019FB"/>
    <w:rsid w:val="00406C12"/>
    <w:rsid w:val="00407B7D"/>
    <w:rsid w:val="00416B89"/>
    <w:rsid w:val="00435396"/>
    <w:rsid w:val="00437003"/>
    <w:rsid w:val="0045019A"/>
    <w:rsid w:val="00451DB0"/>
    <w:rsid w:val="00454764"/>
    <w:rsid w:val="00465BFE"/>
    <w:rsid w:val="0047230C"/>
    <w:rsid w:val="00472B35"/>
    <w:rsid w:val="00484C96"/>
    <w:rsid w:val="00485A2C"/>
    <w:rsid w:val="00486ED4"/>
    <w:rsid w:val="004946E5"/>
    <w:rsid w:val="004952AF"/>
    <w:rsid w:val="00495455"/>
    <w:rsid w:val="00497960"/>
    <w:rsid w:val="004A60D8"/>
    <w:rsid w:val="004C4DD5"/>
    <w:rsid w:val="004D21DC"/>
    <w:rsid w:val="004E4CB3"/>
    <w:rsid w:val="0050534A"/>
    <w:rsid w:val="00521D22"/>
    <w:rsid w:val="00531E71"/>
    <w:rsid w:val="00572F32"/>
    <w:rsid w:val="00585ED7"/>
    <w:rsid w:val="0058637F"/>
    <w:rsid w:val="00587A9C"/>
    <w:rsid w:val="00587ABE"/>
    <w:rsid w:val="005913BE"/>
    <w:rsid w:val="00591D95"/>
    <w:rsid w:val="005C7DDE"/>
    <w:rsid w:val="005E741B"/>
    <w:rsid w:val="005F07F0"/>
    <w:rsid w:val="0060264D"/>
    <w:rsid w:val="006074C8"/>
    <w:rsid w:val="00613343"/>
    <w:rsid w:val="0062076E"/>
    <w:rsid w:val="00626485"/>
    <w:rsid w:val="00632D36"/>
    <w:rsid w:val="00654335"/>
    <w:rsid w:val="00655115"/>
    <w:rsid w:val="00655489"/>
    <w:rsid w:val="00655CD9"/>
    <w:rsid w:val="00672D41"/>
    <w:rsid w:val="0067584C"/>
    <w:rsid w:val="00686AF4"/>
    <w:rsid w:val="006B5979"/>
    <w:rsid w:val="006C59EB"/>
    <w:rsid w:val="006D3120"/>
    <w:rsid w:val="006E1B8E"/>
    <w:rsid w:val="006F1020"/>
    <w:rsid w:val="006F4B99"/>
    <w:rsid w:val="00712D39"/>
    <w:rsid w:val="00716C15"/>
    <w:rsid w:val="0073471F"/>
    <w:rsid w:val="00744FB9"/>
    <w:rsid w:val="00746CAD"/>
    <w:rsid w:val="00747425"/>
    <w:rsid w:val="00761D8D"/>
    <w:rsid w:val="00776BB9"/>
    <w:rsid w:val="00790684"/>
    <w:rsid w:val="00796065"/>
    <w:rsid w:val="007A5220"/>
    <w:rsid w:val="007A79B2"/>
    <w:rsid w:val="007A7CC8"/>
    <w:rsid w:val="007B608D"/>
    <w:rsid w:val="007B66E5"/>
    <w:rsid w:val="007B7A4C"/>
    <w:rsid w:val="007C0612"/>
    <w:rsid w:val="007C44C8"/>
    <w:rsid w:val="007D071B"/>
    <w:rsid w:val="007D7D30"/>
    <w:rsid w:val="007E2CA8"/>
    <w:rsid w:val="007E6D71"/>
    <w:rsid w:val="007E704B"/>
    <w:rsid w:val="007F0CBC"/>
    <w:rsid w:val="0080330C"/>
    <w:rsid w:val="00842252"/>
    <w:rsid w:val="008678F6"/>
    <w:rsid w:val="00876C32"/>
    <w:rsid w:val="008928F2"/>
    <w:rsid w:val="008B25BC"/>
    <w:rsid w:val="008C0924"/>
    <w:rsid w:val="008C3278"/>
    <w:rsid w:val="008E38AD"/>
    <w:rsid w:val="008F74B2"/>
    <w:rsid w:val="0091082B"/>
    <w:rsid w:val="00916E21"/>
    <w:rsid w:val="009461EE"/>
    <w:rsid w:val="00950D35"/>
    <w:rsid w:val="00952BE7"/>
    <w:rsid w:val="009553E5"/>
    <w:rsid w:val="00955F2B"/>
    <w:rsid w:val="0096578C"/>
    <w:rsid w:val="00970365"/>
    <w:rsid w:val="00990B25"/>
    <w:rsid w:val="009A2C3B"/>
    <w:rsid w:val="009A5718"/>
    <w:rsid w:val="009A7772"/>
    <w:rsid w:val="009B6DC9"/>
    <w:rsid w:val="009D0567"/>
    <w:rsid w:val="009D0635"/>
    <w:rsid w:val="009D4845"/>
    <w:rsid w:val="009E0E3A"/>
    <w:rsid w:val="009F4453"/>
    <w:rsid w:val="00A02CA3"/>
    <w:rsid w:val="00A05C34"/>
    <w:rsid w:val="00A11088"/>
    <w:rsid w:val="00A276A6"/>
    <w:rsid w:val="00A5168A"/>
    <w:rsid w:val="00A626E7"/>
    <w:rsid w:val="00A873D3"/>
    <w:rsid w:val="00A911FB"/>
    <w:rsid w:val="00AA5480"/>
    <w:rsid w:val="00AB536B"/>
    <w:rsid w:val="00AB7397"/>
    <w:rsid w:val="00AC02D7"/>
    <w:rsid w:val="00B00B5F"/>
    <w:rsid w:val="00B36DAF"/>
    <w:rsid w:val="00B45E53"/>
    <w:rsid w:val="00B509A4"/>
    <w:rsid w:val="00B54554"/>
    <w:rsid w:val="00BC2162"/>
    <w:rsid w:val="00BE1BF9"/>
    <w:rsid w:val="00BF0594"/>
    <w:rsid w:val="00BF324D"/>
    <w:rsid w:val="00BF7F79"/>
    <w:rsid w:val="00C25E0E"/>
    <w:rsid w:val="00C30E88"/>
    <w:rsid w:val="00C435A5"/>
    <w:rsid w:val="00C44C6E"/>
    <w:rsid w:val="00C478FC"/>
    <w:rsid w:val="00C6206D"/>
    <w:rsid w:val="00C70588"/>
    <w:rsid w:val="00C93191"/>
    <w:rsid w:val="00C94F03"/>
    <w:rsid w:val="00CB5FE6"/>
    <w:rsid w:val="00CD59B2"/>
    <w:rsid w:val="00CF1FE4"/>
    <w:rsid w:val="00D02424"/>
    <w:rsid w:val="00D13385"/>
    <w:rsid w:val="00D25CF4"/>
    <w:rsid w:val="00D27152"/>
    <w:rsid w:val="00D31644"/>
    <w:rsid w:val="00D35A85"/>
    <w:rsid w:val="00D51FD2"/>
    <w:rsid w:val="00D6053D"/>
    <w:rsid w:val="00D60B41"/>
    <w:rsid w:val="00D6390D"/>
    <w:rsid w:val="00D648FF"/>
    <w:rsid w:val="00D8490A"/>
    <w:rsid w:val="00D86619"/>
    <w:rsid w:val="00D9292A"/>
    <w:rsid w:val="00DB0324"/>
    <w:rsid w:val="00DB2B84"/>
    <w:rsid w:val="00DC2A76"/>
    <w:rsid w:val="00DE24DE"/>
    <w:rsid w:val="00E06805"/>
    <w:rsid w:val="00E12AD9"/>
    <w:rsid w:val="00E24081"/>
    <w:rsid w:val="00E24E16"/>
    <w:rsid w:val="00E34BB2"/>
    <w:rsid w:val="00E413F9"/>
    <w:rsid w:val="00E41961"/>
    <w:rsid w:val="00E45013"/>
    <w:rsid w:val="00E613E8"/>
    <w:rsid w:val="00E62896"/>
    <w:rsid w:val="00E62D3E"/>
    <w:rsid w:val="00E63363"/>
    <w:rsid w:val="00E67071"/>
    <w:rsid w:val="00E80436"/>
    <w:rsid w:val="00EA65E1"/>
    <w:rsid w:val="00EB793B"/>
    <w:rsid w:val="00ED1C1C"/>
    <w:rsid w:val="00ED5010"/>
    <w:rsid w:val="00ED5EFB"/>
    <w:rsid w:val="00EE1828"/>
    <w:rsid w:val="00EF1ABC"/>
    <w:rsid w:val="00EF7DD6"/>
    <w:rsid w:val="00F00548"/>
    <w:rsid w:val="00F00929"/>
    <w:rsid w:val="00F339EC"/>
    <w:rsid w:val="00F635E1"/>
    <w:rsid w:val="00F66B6A"/>
    <w:rsid w:val="00F8218A"/>
    <w:rsid w:val="00F842C4"/>
    <w:rsid w:val="00F9451C"/>
    <w:rsid w:val="00F97BD5"/>
    <w:rsid w:val="00FA0E77"/>
    <w:rsid w:val="00FA1C99"/>
    <w:rsid w:val="00FB01FB"/>
    <w:rsid w:val="00FD7A57"/>
    <w:rsid w:val="00FF1A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06C6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ody Text Char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F051-4F50-1540-A5C5-F2CC2FD9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1735</Words>
  <Characters>10584</Characters>
  <Application>Microsoft Macintosh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Sikker browseropstart</vt:lpstr>
      <vt:lpstr>Sikker browseropstart</vt:lpstr>
    </vt:vector>
  </TitlesOfParts>
  <Manager/>
  <Company/>
  <LinksUpToDate>false</LinksUpToDate>
  <CharactersWithSpaces>12295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Kjeld Froberg</cp:lastModifiedBy>
  <cp:revision>4</cp:revision>
  <cp:lastPrinted>2011-02-01T08:24:00Z</cp:lastPrinted>
  <dcterms:created xsi:type="dcterms:W3CDTF">2012-07-03T11:34:00Z</dcterms:created>
  <dcterms:modified xsi:type="dcterms:W3CDTF">2012-08-24T09:07:00Z</dcterms:modified>
  <cp:category/>
</cp:coreProperties>
</file>