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01-系统开发和文档管理指导手册（简称：一号文件）</w:t>
      </w:r>
    </w:p>
    <w:p>
      <w:pPr>
        <w:pStyle w:val="MdBlockquote"/>
      </w:pPr>
      <w:r>
        <w:rPr>
          <w:rStyle w:val="MdStrong"/>
          <w:b/>
          <w:bCs/>
        </w:rPr>
        <w:t xml:space="preserve">版本</w:t>
      </w:r>
      <w:r>
        <w:t xml:space="preserve">: v2.2.0
</w:t>
      </w:r>
      <w:r>
        <w:rPr>
          <w:rStyle w:val="MdStrong"/>
          <w:b/>
          <w:bCs/>
        </w:rPr>
        <w:t xml:space="preserve">更新时间</w:t>
      </w:r>
      <w:r>
        <w:t xml:space="preserve">: 2026-05-09
</w:t>
      </w:r>
      <w:r>
        <w:rPr>
          <w:rStyle w:val="MdStrong"/>
          <w:b/>
          <w:bCs/>
        </w:rPr>
        <w:t xml:space="preserve">更新说明</w:t>
      </w:r>
      <w:r>
        <w:t xml:space="preserve">: 整合数据库版本控制、容灾备份、灰度发布、API废弃策略、密钥管理及团队协作规范等6项补充内容。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开发与架构规范（L1级强制执行）</w:t>
      </w:r>
    </w:p>
    <w:p>
      <w:pPr>
        <w:pStyle w:val="Heading3"/>
        <w:pStyle w:val="MdHeading3"/>
      </w:pPr>
      <w:r>
        <w:t xml:space="preserve">1.1 核心开发铁则</w:t>
      </w:r>
    </w:p>
    <w:p>
      <w:pPr>
        <w:pStyle w:val="MdParagraph"/>
      </w:pPr>
      <w:r>
        <w:t xml:space="preserve">在系统开发过程中，必须严格遵守以下核心铁则：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架构分层</w:t>
      </w:r>
      <w:r>
        <w:t xml:space="preserve">：禁止逆向调用，依赖层级</w:t>
      </w:r>
      <w:r>
        <w:rPr>
          <w:rStyle w:val="MdStrong"/>
          <w:b/>
          <w:bCs/>
        </w:rPr>
        <w:t xml:space="preserve">不得超过3层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资源分配</w:t>
      </w:r>
      <w:r>
        <w:t xml:space="preserve">：IP、端口与计算资源需</w:t>
      </w:r>
      <w:r>
        <w:rPr>
          <w:rStyle w:val="MdStrong"/>
          <w:b/>
          <w:bCs/>
        </w:rPr>
        <w:t xml:space="preserve">先登记后使用</w:t>
      </w:r>
      <w:r>
        <w:t xml:space="preserve">。单服务CPU限制在</w:t>
      </w:r>
      <w:r>
        <w:rPr>
          <w:rStyle w:val="MdStrong"/>
          <w:b/>
          <w:bCs/>
        </w:rPr>
        <w:t xml:space="preserve">4核及以下</w:t>
      </w:r>
      <w:r>
        <w:t xml:space="preserve">，内存</w:t>
      </w:r>
      <w:r>
        <w:rPr>
          <w:rStyle w:val="MdStrong"/>
          <w:b/>
          <w:bCs/>
        </w:rPr>
        <w:t xml:space="preserve">8G及以下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端口规范</w:t>
      </w:r>
      <w:r>
        <w:t xml:space="preserve">：统一使用</w:t>
      </w:r>
      <w:r>
        <w:rPr>
          <w:rStyle w:val="MdStrong"/>
          <w:b/>
          <w:bCs/>
        </w:rPr>
        <w:t xml:space="preserve">30000-50000段</w:t>
      </w:r>
      <w:r>
        <w:t xml:space="preserve">。非整百端口分配给开发与测试环境，整百端口分配给生产前端。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安全基线</w:t>
      </w:r>
      <w:r>
        <w:t xml:space="preserve">：强制要求</w:t>
      </w:r>
      <w:r>
        <w:rPr>
          <w:rStyle w:val="MdStrong"/>
          <w:b/>
          <w:bCs/>
        </w:rPr>
        <w:t xml:space="preserve">参数化查询</w:t>
      </w:r>
      <w:r>
        <w:t xml:space="preserve">防SQL注入、</w:t>
      </w:r>
      <w:r>
        <w:rPr>
          <w:rStyle w:val="MdStrong"/>
          <w:b/>
          <w:bCs/>
        </w:rPr>
        <w:t xml:space="preserve">输出转义</w:t>
      </w:r>
      <w:r>
        <w:t xml:space="preserve">防XSS，且接口必须携带</w:t>
      </w:r>
      <w:r>
        <w:rPr>
          <w:rStyle w:val="MdStrong"/>
          <w:b/>
          <w:bCs/>
        </w:rPr>
        <w:t xml:space="preserve">幂等键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接口规范</w:t>
      </w:r>
      <w:r>
        <w:t xml:space="preserve">：采用</w:t>
      </w:r>
      <w:r>
        <w:rPr>
          <w:rStyle w:val="MdStrong"/>
          <w:b/>
          <w:bCs/>
        </w:rPr>
        <w:t xml:space="preserve">RESTful风格</w:t>
      </w:r>
      <w:r>
        <w:t xml:space="preserve">，路径带版本号，统一返回格式，并必填</w:t>
      </w:r>
      <w:r>
        <w:rPr>
          <w:rStyle w:val="MdStrong"/>
          <w:b/>
          <w:bCs/>
        </w:rPr>
        <w:t xml:space="preserve">限流响应头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API废弃策略</w:t>
      </w:r>
      <w:r>
        <w:t xml:space="preserve">：API旧版本至少保留</w:t>
      </w:r>
      <w:r>
        <w:rPr>
          <w:rStyle w:val="MdStrong"/>
          <w:b/>
          <w:bCs/>
        </w:rPr>
        <w:t xml:space="preserve">6个月兼容期</w:t>
      </w:r>
      <w:r>
        <w:t xml:space="preserve">，下线前30天发布废弃通知，并在响应头中标注 </w:t>
      </w:r>
      <w:r>
        <w:rPr>
          <w:rStyle w:val="MdCode"/>
          <w:u w:val="single"/>
        </w:rPr>
        <w:t xml:space="preserve">Deprecated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质量门禁</w:t>
      </w:r>
      <w:r>
        <w:t xml:space="preserve">：单元测试覆盖率必须达标，PR需</w:t>
      </w:r>
      <w:r>
        <w:rPr>
          <w:rStyle w:val="MdStrong"/>
          <w:b/>
          <w:bCs/>
        </w:rPr>
        <w:t xml:space="preserve">至少1人审批</w:t>
      </w:r>
      <w:r>
        <w:t xml:space="preserve">，安全扫描必须</w:t>
      </w:r>
      <w:r>
        <w:rPr>
          <w:rStyle w:val="MdStrong"/>
          <w:b/>
          <w:bCs/>
        </w:rPr>
        <w:t xml:space="preserve">零高危漏洞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开发流程</w:t>
      </w:r>
      <w:r>
        <w:t xml:space="preserve">：任务拆分至</w:t>
      </w:r>
      <w:r>
        <w:rPr>
          <w:rStyle w:val="MdStrong"/>
          <w:b/>
          <w:bCs/>
        </w:rPr>
        <w:t xml:space="preserve">30分钟内可完成</w:t>
      </w:r>
      <w:r>
        <w:t xml:space="preserve">粒度；严格执行</w:t>
      </w:r>
      <w:r>
        <w:rPr>
          <w:rStyle w:val="MdStrong"/>
          <w:b/>
          <w:bCs/>
        </w:rPr>
        <w:t xml:space="preserve">TDD（测试驱动开发）</w:t>
      </w:r>
      <w:r>
        <w:rPr>
          <w:rStyle w:val="MdStrong"/>
          <w:b/>
          <w:bCs/>
        </w:rPr>
        <w:t xml:space="preserve">红黄绿流程；在</w:t>
      </w:r>
      <w:r>
        <w:rPr>
          <w:rStyle w:val="MdStrong"/>
          <w:b/>
          <w:bCs/>
        </w:rPr>
        <w:t xml:space="preserve">独立工作树分支</w:t>
      </w:r>
      <w:r>
        <w:t xml:space="preserve">开发，完成后销毁。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调试与上线</w:t>
      </w:r>
      <w:r>
        <w:t xml:space="preserve">：调试必须</w:t>
      </w:r>
      <w:r>
        <w:rPr>
          <w:rStyle w:val="MdStrong"/>
          <w:b/>
          <w:bCs/>
        </w:rPr>
        <w:t xml:space="preserve">先复现根因</w:t>
      </w:r>
      <w:r>
        <w:t xml:space="preserve">，上线必须提供</w:t>
      </w:r>
      <w:r>
        <w:rPr>
          <w:rStyle w:val="MdStrong"/>
          <w:b/>
          <w:bCs/>
        </w:rPr>
        <w:t xml:space="preserve">可量化验证证据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命名规范</w:t>
      </w:r>
      <w:r>
        <w:t xml:space="preserve">：产品侧</w:t>
      </w:r>
      <w:r>
        <w:rPr>
          <w:rStyle w:val="MdStrong"/>
          <w:b/>
          <w:bCs/>
        </w:rPr>
        <w:t xml:space="preserve">统一前缀并隔离内部代号</w:t>
      </w:r>
      <w:r>
        <w:t xml:space="preserve">；开发侧采用</w:t>
      </w:r>
      <w:r>
        <w:rPr>
          <w:rStyle w:val="MdStrong"/>
          <w:b/>
          <w:bCs/>
        </w:rPr>
        <w:t xml:space="preserve">自定义前缀加数字</w:t>
      </w:r>
      <w:r>
        <w:t xml:space="preserve">（如w001）并在内部统一使用。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技术栈与选型策略</w:t>
      </w:r>
    </w:p>
    <w:p>
      <w:pPr>
        <w:pStyle w:val="MdParagraph"/>
      </w:pPr>
      <w:r>
        <w:t xml:space="preserve">技术选型需兼顾开发测试环境的</w:t>
      </w:r>
      <w:r>
        <w:rPr>
          <w:rStyle w:val="MdStrong"/>
          <w:b/>
          <w:bCs/>
        </w:rPr>
        <w:t xml:space="preserve">极致降本</w:t>
      </w:r>
      <w:r>
        <w:t xml:space="preserve">与生产环境的</w:t>
      </w:r>
      <w:r>
        <w:rPr>
          <w:rStyle w:val="MdStrong"/>
          <w:b/>
          <w:bCs/>
        </w:rPr>
        <w:t xml:space="preserve">合规可靠</w:t>
      </w:r>
      <w:r>
        <w:t xml:space="preserve">，同时保证</w:t>
      </w:r>
      <w:r>
        <w:rPr>
          <w:rStyle w:val="MdStrong"/>
          <w:b/>
          <w:bCs/>
        </w:rPr>
        <w:t xml:space="preserve">代码与协议的一致性</w:t>
      </w:r>
      <w:r>
        <w:t xml:space="preserve">以实现平稳过渡。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1.2.1 核心语言与展现层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后端主语言</w:t>
      </w:r>
      <w:r>
        <w:t xml:space="preserve">：强制采用 </w:t>
      </w:r>
      <w:r>
        <w:rPr>
          <w:rStyle w:val="MdStrong"/>
          <w:b/>
          <w:bCs/>
        </w:rPr>
        <w:t xml:space="preserve">Go/Gin</w:t>
      </w:r>
      <w:r>
        <w:t xml:space="preserve">。利用其极低内存占用与高并发特性，单台低配裸机即可承载数十个微服务实例。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前端框架</w:t>
      </w:r>
      <w:r>
        <w:t xml:space="preserve">：统一采用 </w:t>
      </w:r>
      <w:r>
        <w:rPr>
          <w:rStyle w:val="MdStrong"/>
          <w:b/>
          <w:bCs/>
        </w:rPr>
        <w:t xml:space="preserve">Vue 3 结合 UniApp</w:t>
      </w:r>
      <w:r>
        <w:t xml:space="preserve">。实现一套代码多端发布，极限降低适配工作量。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备选审批项（Java）</w:t>
      </w:r>
      <w:r>
        <w:t xml:space="preserve">：在开发</w:t>
      </w:r>
      <w:r>
        <w:rPr>
          <w:rStyle w:val="MdStrong"/>
          <w:b/>
          <w:bCs/>
        </w:rPr>
        <w:t xml:space="preserve">企业级复杂系统</w:t>
      </w:r>
      <w:r>
        <w:t xml:space="preserve">或</w:t>
      </w:r>
      <w:r>
        <w:rPr>
          <w:rStyle w:val="MdStrong"/>
          <w:b/>
          <w:bCs/>
        </w:rPr>
        <w:t xml:space="preserve">事务密集型服务</w:t>
      </w:r>
      <w:r>
        <w:t xml:space="preserve">时，允许将 </w:t>
      </w:r>
      <w:r>
        <w:rPr>
          <w:rStyle w:val="MdStrong"/>
          <w:b/>
          <w:bCs/>
        </w:rPr>
        <w:t xml:space="preserve">Java（JDK 17/21 LTS）</w:t>
      </w:r>
      <w:r>
        <w:rPr>
          <w:rStyle w:val="MdStrong"/>
          <w:b/>
          <w:bCs/>
        </w:rPr>
        <w:t xml:space="preserve">作为备选架构。但必须提前提交 ADR 文档说明选型理由，经</w:t>
      </w:r>
      <w:r>
        <w:rPr>
          <w:rStyle w:val="MdStrong"/>
          <w:b/>
          <w:bCs/>
        </w:rPr>
        <w:t xml:space="preserve">架构委员会审批通过</w:t>
      </w:r>
      <w:r>
        <w:t xml:space="preserve">后方可使用。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1.2.2 流量与基础设施层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开发测试环境</w:t>
      </w:r>
      <w:r>
        <w:t xml:space="preserve">：利用廉价外网服务器自建</w:t>
      </w:r>
      <w:r>
        <w:rPr>
          <w:rStyle w:val="MdStrong"/>
          <w:b/>
          <w:bCs/>
        </w:rPr>
        <w:t xml:space="preserve">单节点 Nginx 或 APISIX</w:t>
      </w:r>
      <w:r>
        <w:t xml:space="preserve">，配合</w:t>
      </w:r>
      <w:r>
        <w:rPr>
          <w:rStyle w:val="MdStrong"/>
          <w:b/>
          <w:bCs/>
        </w:rPr>
        <w:t xml:space="preserve">单节点自建 Consul</w:t>
      </w:r>
      <w:r>
        <w:t xml:space="preserve">，以替代收费微服务引擎。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生产环境</w:t>
      </w:r>
      <w:r>
        <w:t xml:space="preserve">：网关必须采用</w:t>
      </w:r>
      <w:r>
        <w:rPr>
          <w:rStyle w:val="MdStrong"/>
          <w:b/>
          <w:bCs/>
        </w:rPr>
        <w:t xml:space="preserve">云厂商 SLB/ALB</w:t>
      </w:r>
      <w:r>
        <w:t xml:space="preserve"> 扛 DDoS 攻击并保障入口高可用；内部微服务网关使用 </w:t>
      </w:r>
      <w:r>
        <w:rPr>
          <w:rStyle w:val="MdStrong"/>
          <w:b/>
          <w:bCs/>
        </w:rPr>
        <w:t xml:space="preserve">APISIX 集群</w:t>
      </w:r>
      <w:r>
        <w:t xml:space="preserve">；配置中心与服务发现采用 </w:t>
      </w:r>
      <w:r>
        <w:rPr>
          <w:rStyle w:val="MdStrong"/>
          <w:b/>
          <w:bCs/>
        </w:rPr>
        <w:t xml:space="preserve">Nacos 或 Consul 的高可用集群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平稳过渡</w:t>
      </w:r>
      <w:r>
        <w:t xml:space="preserve">：由于底层协议一致，代码层面</w:t>
      </w:r>
      <w:r>
        <w:rPr>
          <w:rStyle w:val="MdStrong"/>
          <w:b/>
          <w:bCs/>
        </w:rPr>
        <w:t xml:space="preserve">对接标准 API</w:t>
      </w:r>
      <w:r>
        <w:t xml:space="preserve">，无需修改即可实现环境切换。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1.2.3 数据与存储层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开发测试环境</w:t>
      </w:r>
      <w:r>
        <w:t xml:space="preserve">：建议采用</w:t>
      </w:r>
      <w:r>
        <w:rPr>
          <w:rStyle w:val="MdStrong"/>
          <w:b/>
          <w:bCs/>
        </w:rPr>
        <w:t xml:space="preserve">单机自建 PostgreSQL</w:t>
      </w:r>
      <w:r>
        <w:t xml:space="preserve">、</w:t>
      </w:r>
      <w:r>
        <w:rPr>
          <w:rStyle w:val="MdStrong"/>
          <w:b/>
          <w:bCs/>
        </w:rPr>
        <w:t xml:space="preserve">单机自建 Redis</w:t>
      </w:r>
      <w:r>
        <w:t xml:space="preserve"> 以及</w:t>
      </w:r>
      <w:r>
        <w:rPr>
          <w:rStyle w:val="MdStrong"/>
          <w:b/>
          <w:bCs/>
        </w:rPr>
        <w:t xml:space="preserve">单机自建 MinIO</w:t>
      </w:r>
      <w:r>
        <w:t xml:space="preserve">，以省下高昂的月费。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生产环境</w:t>
      </w:r>
      <w:r>
        <w:t xml:space="preserve">：数据丢失或宕机是灾难性的，必须购买云厂商的 </w:t>
      </w:r>
      <w:r>
        <w:rPr>
          <w:rStyle w:val="MdStrong"/>
          <w:b/>
          <w:bCs/>
        </w:rPr>
        <w:t xml:space="preserve">RDS PostgreSQL（主从高可用）</w:t>
      </w:r>
      <w:r>
        <w:t xml:space="preserve">、</w:t>
      </w:r>
      <w:r>
        <w:rPr>
          <w:rStyle w:val="MdStrong"/>
          <w:b/>
          <w:bCs/>
        </w:rPr>
        <w:t xml:space="preserve">云托管 Redis（集群版）</w:t>
      </w:r>
      <w:r>
        <w:rPr>
          <w:rStyle w:val="MdStrong"/>
          <w:b/>
          <w:bCs/>
        </w:rPr>
        <w:t xml:space="preserve">以及</w:t>
      </w:r>
      <w:r>
        <w:rPr>
          <w:rStyle w:val="MdStrong"/>
          <w:b/>
          <w:bCs/>
        </w:rPr>
        <w:t xml:space="preserve">云厂商 OSS</w:t>
      </w:r>
      <w:r>
        <w:t xml:space="preserve">，以获取自动备份、容灾、高可用和合规审计能力。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版本控制</w:t>
      </w:r>
      <w:r>
        <w:t xml:space="preserve">：全环境强制使用代码化的数据库迁移工具（如 </w:t>
      </w:r>
      <w:r>
        <w:rPr>
          <w:rStyle w:val="MdStrong"/>
          <w:b/>
          <w:bCs/>
        </w:rPr>
        <w:t xml:space="preserve">Goose</w:t>
      </w:r>
      <w:r>
        <w:t xml:space="preserve"> 或 </w:t>
      </w:r>
      <w:r>
        <w:rPr>
          <w:rStyle w:val="MdStrong"/>
          <w:b/>
          <w:bCs/>
        </w:rPr>
        <w:t xml:space="preserve">golang-migrate</w:t>
      </w:r>
      <w:r>
        <w:t xml:space="preserve">），</w:t>
      </w:r>
      <w:r>
        <w:rPr>
          <w:rStyle w:val="MdStrong"/>
          <w:b/>
          <w:bCs/>
        </w:rPr>
        <w:t xml:space="preserve">禁止手动直连改库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平稳过渡</w:t>
      </w:r>
      <w:r>
        <w:t xml:space="preserve">：自建版与云托管版在协议和驱动上完全一致（MinIO 兼容 S3），切换环境时代码层面的 </w:t>
      </w:r>
      <w:r>
        <w:rPr>
          <w:rStyle w:val="MdStrong"/>
          <w:b/>
          <w:bCs/>
        </w:rPr>
        <w:t xml:space="preserve">SDK 零修改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1.2.4 核心中间件层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开发测试环境</w:t>
      </w:r>
      <w:r>
        <w:t xml:space="preserve">：使用 </w:t>
      </w:r>
      <w:r>
        <w:rPr>
          <w:rStyle w:val="MdStrong"/>
          <w:b/>
          <w:bCs/>
        </w:rPr>
        <w:t xml:space="preserve">Redis Streams</w:t>
      </w:r>
      <w:r>
        <w:t xml:space="preserve"> 处理轻量消息，并使用 </w:t>
      </w:r>
      <w:r>
        <w:rPr>
          <w:rStyle w:val="MdStrong"/>
          <w:b/>
          <w:bCs/>
        </w:rPr>
        <w:t xml:space="preserve">Asynq</w:t>
      </w:r>
      <w:r>
        <w:t xml:space="preserve"> 进行任务调度。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生产环境</w:t>
      </w:r>
      <w:r>
        <w:t xml:space="preserve">：涉及财务对账、核心订单等必须保证消息零丢失的场景，必须上</w:t>
      </w:r>
      <w:r>
        <w:rPr>
          <w:rStyle w:val="MdStrong"/>
          <w:b/>
          <w:bCs/>
        </w:rPr>
        <w:t xml:space="preserve">云托管 Kafka 或 RocketMQ</w:t>
      </w:r>
      <w:r>
        <w:t xml:space="preserve">；非核心业务可继续使用 Redis Streams；任务调度全环境保持一致使用 Asynq。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平稳过渡</w:t>
      </w:r>
      <w:r>
        <w:t xml:space="preserve">：若生产环境有高吞吐要求，需在代码层面对消息队列进行</w:t>
      </w:r>
      <w:r>
        <w:rPr>
          <w:rStyle w:val="MdStrong"/>
          <w:b/>
          <w:bCs/>
        </w:rPr>
        <w:t xml:space="preserve">接口抽象</w:t>
      </w:r>
      <w:r>
        <w:t xml:space="preserve">，开发环境注入 Redis 实现，生产环境注入 Kafka 实现。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1.2.5 安全与风控层</w:t>
      </w:r>
    </w:p>
    <w:p>
      <w:pPr>
        <w:pStyle w:val="MdParagraph"/>
      </w:pPr>
      <w:r>
        <w:t xml:space="preserve">安全与风控层在</w:t>
      </w:r>
      <w:r>
        <w:rPr>
          <w:rStyle w:val="MdStrong"/>
          <w:b/>
          <w:bCs/>
        </w:rPr>
        <w:t xml:space="preserve">全环境必须保持一致</w:t>
      </w:r>
      <w:r>
        <w:t xml:space="preserve">，必须在开发测试阶段就严格跑通：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认证与阻断</w:t>
      </w:r>
      <w:r>
        <w:t xml:space="preserve">：采用 </w:t>
      </w:r>
      <w:r>
        <w:rPr>
          <w:rStyle w:val="MdStrong"/>
          <w:b/>
          <w:bCs/>
        </w:rPr>
        <w:t xml:space="preserve">JWT 结合 Redis 黑名单</w:t>
      </w:r>
      <w:r>
        <w:t xml:space="preserve">满足实时阻断需求。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设备风控</w:t>
      </w:r>
      <w:r>
        <w:t xml:space="preserve">：使用 </w:t>
      </w:r>
      <w:r>
        <w:rPr>
          <w:rStyle w:val="MdStrong"/>
          <w:b/>
          <w:bCs/>
        </w:rPr>
        <w:t xml:space="preserve">FingerprintJS 结合自研引擎</w:t>
      </w:r>
      <w:r>
        <w:t xml:space="preserve">替代收费商业版。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加密算法</w:t>
      </w:r>
      <w:r>
        <w:t xml:space="preserve">：强制采用**国密算法（SM2/SM3/SM4）**满足金融合规底线。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密钥管理</w:t>
      </w:r>
      <w:r>
        <w:t xml:space="preserve">：敏感配置（如 AK/SK、数据库密码）</w:t>
      </w:r>
      <w:r>
        <w:rPr>
          <w:rStyle w:val="MdStrong"/>
          <w:b/>
          <w:bCs/>
        </w:rPr>
        <w:t xml:space="preserve">禁止明文写入代码或配置文件</w:t>
      </w:r>
      <w:r>
        <w:t xml:space="preserve">，必须通过密钥管理服务（如 Vault 或云厂商 KMS）注入，且审计所有访问记录。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1.2.6 第三方服务与触达层</w:t>
      </w:r>
    </w:p>
    <w:p>
      <w:pPr>
        <w:pStyle w:val="MdParagraph"/>
      </w:pPr>
      <w:r>
        <w:t xml:space="preserve">第三方服务与触达层同样在</w:t>
      </w:r>
      <w:r>
        <w:rPr>
          <w:rStyle w:val="MdStrong"/>
          <w:b/>
          <w:bCs/>
        </w:rPr>
        <w:t xml:space="preserve">全环境保持一致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消息触达</w:t>
      </w:r>
      <w:r>
        <w:t xml:space="preserve">：常规通知走</w:t>
      </w:r>
      <w:r>
        <w:rPr>
          <w:rStyle w:val="MdStrong"/>
          <w:b/>
          <w:bCs/>
        </w:rPr>
        <w:t xml:space="preserve">微信体系</w:t>
      </w:r>
      <w:r>
        <w:t xml:space="preserve">（公众号/小程序/模板消息）及 </w:t>
      </w:r>
      <w:r>
        <w:rPr>
          <w:rStyle w:val="MdStrong"/>
          <w:b/>
          <w:bCs/>
        </w:rPr>
        <w:t xml:space="preserve">App 内推</w:t>
      </w:r>
      <w:r>
        <w:t xml:space="preserve">免费通道，仅合规强制环节用短信。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实名认证</w:t>
      </w:r>
      <w:r>
        <w:t xml:space="preserve">：采用</w:t>
      </w:r>
      <w:r>
        <w:rPr>
          <w:rStyle w:val="MdStrong"/>
          <w:b/>
          <w:bCs/>
        </w:rPr>
        <w:t xml:space="preserve">银企直连与人脸核身</w:t>
      </w:r>
      <w:r>
        <w:t xml:space="preserve">，并强制执行</w:t>
      </w:r>
      <w:r>
        <w:rPr>
          <w:rStyle w:val="MdStrong"/>
          <w:b/>
          <w:bCs/>
        </w:rPr>
        <w:t xml:space="preserve">延迟认证策略</w:t>
      </w:r>
      <w:r>
        <w:t xml:space="preserve">，杜绝羊毛党刷爆接口费。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1.2.7 监控与运维层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开发测试环境</w:t>
      </w:r>
      <w:r>
        <w:t xml:space="preserve">：采用</w:t>
      </w:r>
      <w:r>
        <w:rPr>
          <w:rStyle w:val="MdStrong"/>
          <w:b/>
          <w:bCs/>
        </w:rPr>
        <w:t xml:space="preserve">单机 VictoriaMetrics</w:t>
      </w:r>
      <w:r>
        <w:t xml:space="preserve">、</w:t>
      </w:r>
      <w:r>
        <w:rPr>
          <w:rStyle w:val="MdStrong"/>
          <w:b/>
          <w:bCs/>
        </w:rPr>
        <w:t xml:space="preserve">Vector</w:t>
      </w:r>
      <w:r>
        <w:t xml:space="preserve"> 以及 </w:t>
      </w:r>
      <w:r>
        <w:rPr>
          <w:rStyle w:val="MdStrong"/>
          <w:b/>
          <w:bCs/>
        </w:rPr>
        <w:t xml:space="preserve">OpenTelemetry（纯埋点打入日志）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生产环境</w:t>
      </w:r>
      <w:r>
        <w:t xml:space="preserve">：采用 </w:t>
      </w:r>
      <w:r>
        <w:rPr>
          <w:rStyle w:val="MdStrong"/>
          <w:b/>
          <w:bCs/>
        </w:rPr>
        <w:t xml:space="preserve">VictoriaMetrics 集群</w:t>
      </w:r>
      <w:r>
        <w:t xml:space="preserve">、</w:t>
      </w:r>
      <w:r>
        <w:rPr>
          <w:rStyle w:val="MdStrong"/>
          <w:b/>
          <w:bCs/>
        </w:rPr>
        <w:t xml:space="preserve">Vector</w:t>
      </w:r>
      <w:r>
        <w:t xml:space="preserve">、</w:t>
      </w:r>
      <w:r>
        <w:rPr>
          <w:rStyle w:val="MdStrong"/>
          <w:b/>
          <w:bCs/>
        </w:rPr>
        <w:t xml:space="preserve">OpenTelemetry 纯埋点</w:t>
      </w:r>
      <w:r>
        <w:t xml:space="preserve">以及</w:t>
      </w:r>
      <w:r>
        <w:rPr>
          <w:rStyle w:val="MdStrong"/>
          <w:b/>
          <w:bCs/>
        </w:rPr>
        <w:t xml:space="preserve">便宜的冷存储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降本策略</w:t>
      </w:r>
      <w:r>
        <w:t xml:space="preserve">：放弃笨重的 ELK 和 Jaeger 服务端，采用 VictoriaMetrics 配合纯埋点 TraceID 关联日志的轻量方案，足以满足生产环境绝大部分的故障排查需求，同时</w:t>
      </w:r>
      <w:r>
        <w:rPr>
          <w:rStyle w:val="MdStrong"/>
          <w:b/>
          <w:bCs/>
        </w:rPr>
        <w:t xml:space="preserve">省下海量服务器成本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环境与部署规范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生产环境</w:t>
      </w:r>
      <w:r>
        <w:t xml:space="preserve">：必须严格执行高可用要求，中间件副本数需</w:t>
      </w:r>
      <w:r>
        <w:rPr>
          <w:rStyle w:val="MdStrong"/>
          <w:b/>
          <w:bCs/>
        </w:rPr>
        <w:t xml:space="preserve">大于等于3</w:t>
      </w:r>
      <w:r>
        <w:t xml:space="preserve">，服务必须</w:t>
      </w:r>
      <w:r>
        <w:rPr>
          <w:rStyle w:val="MdStrong"/>
          <w:b/>
          <w:bCs/>
        </w:rPr>
        <w:t xml:space="preserve">多实例部署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非生产环境</w:t>
      </w:r>
      <w:r>
        <w:t xml:space="preserve">：研发、测试、UAT 等环境允许</w:t>
      </w:r>
      <w:r>
        <w:rPr>
          <w:rStyle w:val="MdStrong"/>
          <w:b/>
          <w:bCs/>
        </w:rPr>
        <w:t xml:space="preserve">单副本、单实例部署</w:t>
      </w:r>
      <w:r>
        <w:t xml:space="preserve">以节省资源。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环境隔离</w:t>
      </w:r>
      <w:r>
        <w:t xml:space="preserve">：所有测试环境必须</w:t>
      </w:r>
      <w:r>
        <w:rPr>
          <w:rStyle w:val="MdStrong"/>
          <w:b/>
          <w:bCs/>
        </w:rPr>
        <w:t xml:space="preserve">明确标识</w:t>
      </w:r>
      <w:r>
        <w:t xml:space="preserve">，严禁接入生产流量或存储生产敏感数据。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容灾与备份</w:t>
      </w:r>
      <w:r>
        <w:t xml:space="preserve">：生产数据库</w:t>
      </w:r>
      <w:r>
        <w:rPr>
          <w:rStyle w:val="MdStrong"/>
          <w:b/>
          <w:bCs/>
        </w:rPr>
        <w:t xml:space="preserve">每日自动备份</w:t>
      </w:r>
      <w:r>
        <w:t xml:space="preserve">，RPO≤1小时，RTO≤30分钟，</w:t>
      </w:r>
      <w:r>
        <w:rPr>
          <w:rStyle w:val="MdStrong"/>
          <w:b/>
          <w:bCs/>
        </w:rPr>
        <w:t xml:space="preserve">每季度至少执行一次</w:t>
      </w:r>
      <w:r>
        <w:t xml:space="preserve">容灾恢复演练。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灰度与回滚</w:t>
      </w:r>
      <w:r>
        <w:t xml:space="preserve">：所有生产发布必须支持</w:t>
      </w:r>
      <w:r>
        <w:rPr>
          <w:rStyle w:val="MdStrong"/>
          <w:b/>
          <w:bCs/>
        </w:rPr>
        <w:t xml:space="preserve">灰度发布</w:t>
      </w:r>
      <w:r>
        <w:t xml:space="preserve">（如先放量5%→20%→100%），并预置</w:t>
      </w:r>
      <w:r>
        <w:rPr>
          <w:rStyle w:val="MdStrong"/>
          <w:b/>
          <w:bCs/>
        </w:rPr>
        <w:t xml:space="preserve">一键回滚能力</w:t>
      </w:r>
      <w:r>
        <w:t xml:space="preserve">，回滚时间不超过5分钟。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团队协作与文档管理</w:t>
      </w:r>
    </w:p>
    <w:p>
      <w:pPr>
        <w:pStyle w:val="Heading3"/>
        <w:pStyle w:val="MdHeading3"/>
      </w:pPr>
      <w:r>
        <w:t xml:space="preserve">3.1 团队协作规范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代码评审</w:t>
      </w:r>
      <w:r>
        <w:t xml:space="preserve">：PR 提交后，评审人需在 </w:t>
      </w:r>
      <w:r>
        <w:rPr>
          <w:rStyle w:val="MdStrong"/>
          <w:b/>
          <w:bCs/>
        </w:rPr>
        <w:t xml:space="preserve">1个工作日内</w:t>
      </w:r>
      <w:r>
        <w:t xml:space="preserve"> 响应，禁止积压。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技术债务</w:t>
      </w:r>
      <w:r>
        <w:t xml:space="preserve">：所有技术债务必须在 Issue 跟踪系统中登记，并安排在后续迭代中逐步消化。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架构决策</w:t>
      </w:r>
      <w:r>
        <w:t xml:space="preserve">：所有重大架构变更必须提交 ADR（架构决策记录）文档，经架构委员会审批后归档。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目录与归档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标准目录</w:t>
      </w:r>
      <w:r>
        <w:t xml:space="preserve">：项目目录统一划分为 </w:t>
      </w:r>
      <w:r>
        <w:rPr>
          <w:rStyle w:val="MdCode"/>
          <w:u w:val="single"/>
        </w:rPr>
        <w:t xml:space="preserve">00-docs</w:t>
      </w:r>
      <w:r>
        <w:t xml:space="preserve">（技术/规范）、</w:t>
      </w:r>
      <w:r>
        <w:rPr>
          <w:rStyle w:val="MdCode"/>
          <w:u w:val="single"/>
        </w:rPr>
        <w:t xml:space="preserve">01-dev-project</w:t>
      </w:r>
      <w:r>
        <w:t xml:space="preserve">、</w:t>
      </w:r>
      <w:r>
        <w:rPr>
          <w:rStyle w:val="MdCode"/>
          <w:u w:val="single"/>
        </w:rPr>
        <w:t xml:space="preserve">02-subagent-project</w:t>
      </w:r>
      <w:r>
        <w:t xml:space="preserve">、</w:t>
      </w:r>
      <w:r>
        <w:rPr>
          <w:rStyle w:val="MdCode"/>
          <w:u w:val="single"/>
        </w:rPr>
        <w:t xml:space="preserve">03-uiux-project</w:t>
      </w:r>
      <w:r>
        <w:t xml:space="preserve"> 及 </w:t>
      </w:r>
      <w:r>
        <w:rPr>
          <w:rStyle w:val="MdCode"/>
          <w:u w:val="single"/>
        </w:rPr>
        <w:t xml:space="preserve">project_records</w:t>
      </w:r>
      <w:r>
        <w:t xml:space="preserve">（全量归档）。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留存要求</w:t>
      </w:r>
      <w:r>
        <w:t xml:space="preserve">：所有项目产出（包括会议纪要、版本文档、代码提交记录、评审记录等）必须</w:t>
      </w:r>
      <w:r>
        <w:rPr>
          <w:rStyle w:val="MdStrong"/>
          <w:b/>
          <w:bCs/>
        </w:rPr>
        <w:t xml:space="preserve">永久留存</w:t>
      </w:r>
      <w:r>
        <w:t xml:space="preserve">，且修改记录必须</w:t>
      </w:r>
      <w:r>
        <w:rPr>
          <w:rStyle w:val="MdStrong"/>
          <w:b/>
          <w:bCs/>
        </w:rPr>
        <w:t xml:space="preserve">可追溯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归档原则</w:t>
      </w:r>
      <w:r>
        <w:t xml:space="preserve">：归档文件</w:t>
      </w:r>
      <w:r>
        <w:rPr>
          <w:rStyle w:val="MdStrong"/>
          <w:b/>
          <w:bCs/>
        </w:rPr>
        <w:t xml:space="preserve">仅可新增，禁止删除或篡改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命名与版本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文件命名</w:t>
      </w:r>
      <w:r>
        <w:t xml:space="preserve">：必须</w:t>
      </w:r>
      <w:r>
        <w:rPr>
          <w:rStyle w:val="MdStrong"/>
          <w:b/>
          <w:bCs/>
        </w:rPr>
        <w:t xml:space="preserve">见名知意</w:t>
      </w:r>
      <w:r>
        <w:t xml:space="preserve">，并带版本号后缀（如 </w:t>
      </w:r>
      <w:r>
        <w:rPr>
          <w:rStyle w:val="MdCode"/>
          <w:u w:val="single"/>
        </w:rPr>
        <w:t xml:space="preserve">文件名v1.0.0.md</w:t>
      </w:r>
      <w:r>
        <w:t xml:space="preserve">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过时文档</w:t>
      </w:r>
      <w:r>
        <w:t xml:space="preserve">：需重命名为 </w:t>
      </w:r>
      <w:r>
        <w:rPr>
          <w:rStyle w:val="MdCode"/>
          <w:u w:val="single"/>
        </w:rPr>
        <w:t xml:space="preserve">过时-原文件名.md.bak.YYYYMMDD</w:t>
      </w:r>
      <w:r>
        <w:t xml:space="preserve"> 并归档。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版本控制</w:t>
      </w:r>
      <w:r>
        <w:t xml:space="preserve">：遵循</w:t>
      </w:r>
      <w:r>
        <w:rPr>
          <w:rStyle w:val="MdStrong"/>
          <w:b/>
          <w:bCs/>
        </w:rPr>
        <w:t xml:space="preserve">语义化版本</w:t>
      </w:r>
      <w:r>
        <w:t xml:space="preserve">（v主版本.次版本.补丁号），重大升级必须提供</w:t>
      </w:r>
      <w:r>
        <w:rPr>
          <w:rStyle w:val="MdStrong"/>
          <w:b/>
          <w:bCs/>
        </w:rPr>
        <w:t xml:space="preserve">迁移文档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附录：参考指南</w:t>
      </w:r>
    </w:p>
    <w:p>
      <w:pPr>
        <w:pStyle w:val="Heading3"/>
        <w:pStyle w:val="MdHeading3"/>
      </w:pPr>
      <w:r>
        <w:t xml:space="preserve">A. 文档分类级别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级别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分类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policy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核心制度，最高权威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regulation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强制规定，违反有后果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guideline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指导性建议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standard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公开/内部标准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instruction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操作手册/接口规范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reference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参考资料</w:t>
            </w:r>
          </w:p>
        </w:tc>
      </w:tr>
    </w:tbl>
    <w:p>
      <w:pPr>
        <w:pStyle w:val="Heading3"/>
        <w:pStyle w:val="MdHeading3"/>
      </w:pPr>
      <w:r>
        <w:t xml:space="preserve">B. 常用排查命令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端口占用</w:t>
      </w:r>
      <w:r>
        <w:t xml:space="preserve">：</w:t>
      </w:r>
      <w:r>
        <w:rPr>
          <w:rStyle w:val="MdCode"/>
          <w:u w:val="single"/>
        </w:rPr>
        <w:t xml:space="preserve">lsof -i :端口号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编码检查</w:t>
      </w:r>
      <w:r>
        <w:t xml:space="preserve">：</w:t>
      </w:r>
      <w:r>
        <w:rPr>
          <w:rStyle w:val="MdCode"/>
          <w:u w:val="single"/>
        </w:rPr>
        <w:t xml:space="preserve">file -i 文件名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快速归档</w:t>
      </w:r>
      <w:r>
        <w:t xml:space="preserve">：</w:t>
      </w:r>
      <w:r>
        <w:rPr>
          <w:rStyle w:val="MdCode"/>
          <w:u w:val="single"/>
        </w:rPr>
        <w:t xml:space="preserve">mv 原文件名 过时-原文件名.md.bak.$(date +%Y%m%d)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2026-05-09T04:38:26.154Z</dcterms:created>
  <dcterms:modified xsi:type="dcterms:W3CDTF">2026-05-09T04:38:26.154Z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