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83226"/>
        </w:rPr>
        <w:t>Tài liệu giải thích trang Quản lý nguồn nợ</w:t>
      </w:r>
    </w:p>
    <w:p>
      <w:pPr>
        <w:spacing w:before="0" w:after="120" w:line="276" w:lineRule="auto"/>
        <w:jc w:val="center"/>
      </w:pPr>
      <w:r>
        <w:rPr>
          <w:b/>
          <w:color w:val="208A55"/>
          <w:sz w:val="26"/>
        </w:rPr>
        <w:t>Mô-đun Hoàn quỹ động</w:t>
      </w:r>
    </w:p>
    <w:p>
      <w:pPr>
        <w:spacing w:before="0" w:after="280" w:line="276" w:lineRule="auto"/>
        <w:jc w:val="center"/>
      </w:pPr>
      <w:r>
        <w:rPr>
          <w:i/>
          <w:sz w:val="21"/>
        </w:rPr>
        <w:t>Tài liệu này giải thích ý nghĩa nghiệp vụ, cách tính và cách đọc số liệu của trang Hoàn quỹ động trong ứng dụng quản lý tài chính cá nhân.</w:t>
      </w:r>
    </w:p>
    <w:tbl>
      <w:tblPr>
        <w:tblW w:type="auto" w:w="0"/>
        <w:tblLayout w:type="fixed"/>
        <w:tblLook w:firstColumn="1" w:firstRow="1" w:lastColumn="0" w:lastRow="0" w:noHBand="0" w:noVBand="1" w:val="04A0"/>
      </w:tblPr>
      <w:tblGrid>
        <w:gridCol w:w="9071"/>
      </w:tblGrid>
      <w:tr>
        <w:tc>
          <w:tcPr>
            <w:tcW w:type="dxa" w:w="9746"/>
            <w:shd w:fill="EEF7F2"/>
          </w:tcPr>
          <w:p>
            <w:pPr>
              <w:spacing w:before="0" w:after="80" w:line="276" w:lineRule="auto"/>
            </w:pPr>
            <w:r>
              <w:rPr>
                <w:b/>
                <w:color w:val="183226"/>
              </w:rPr>
              <w:t>Ý nghĩa cốt lõi</w:t>
            </w:r>
          </w:p>
          <w:p>
            <w:pPr>
              <w:spacing w:before="0" w:after="0" w:line="276" w:lineRule="auto"/>
            </w:pPr>
            <w:r>
              <w:t xml:space="preserve">Trang này không theo dõi khoản nợ vay thông thường, mà theo dõi nghĩa vụ </w:t>
            </w:r>
            <w:r>
              <w:rPr>
                <w:b/>
              </w:rPr>
              <w:t>hoàn quỹ</w:t>
            </w:r>
            <w:r>
              <w:t xml:space="preserve"> đối với các quỹ mục tiêu, ví dụ quỹ tiết kiệm ngân hàng, quỹ khẩn cấp hoặc quỹ đầu tư. Khi tiền bị rút khỏi quỹ, hệ thống sẽ cho biết cần bù bao nhiêu để quay lại mức mục tiêu hiện hành và nếu nộp thêm thì mốc mục tiêu mới sẽ tăng lên như thế nào.</w:t>
            </w:r>
          </w:p>
        </w:tc>
      </w:tr>
    </w:tbl>
    <w:p/>
    <w:p>
      <w:pPr>
        <w:pStyle w:val="Heading1"/>
        <w:spacing w:before="80" w:after="100" w:line="276" w:lineRule="auto"/>
      </w:pPr>
      <w:r>
        <w:t>1. Trang này dùng để làm gì?</w:t>
      </w:r>
    </w:p>
    <w:p>
      <w:pPr>
        <w:pStyle w:val="ListBullet"/>
        <w:spacing w:before="0" w:after="40" w:line="276" w:lineRule="auto"/>
      </w:pPr>
      <w:r>
        <w:t>Trang Hoàn quỹ động dùng để quản lý các quỹ có mục tiêu tích lũy theo thời gian, trong đó người dùng có thể rút tạm một phần tiền trong quỹ rồi nộp lại vào các kỳ sau.</w:t>
      </w:r>
    </w:p>
    <w:p>
      <w:pPr>
        <w:pStyle w:val="ListBullet"/>
        <w:spacing w:before="0" w:after="40" w:line="276" w:lineRule="auto"/>
      </w:pPr>
      <w:r>
        <w:t>Mục tiêu của trang là giúp người dùng phân biệt rõ ba việc: quỹ hiện đang có thật bao nhiêu, quỹ đang thiếu bao nhiêu so với mốc mục tiêu hiện hành, và nếu nộp thêm tiền thì mốc mục tiêu kỳ sau sẽ tăng lên bao nhiêu.</w:t>
      </w:r>
    </w:p>
    <w:p>
      <w:pPr>
        <w:pStyle w:val="ListBullet"/>
        <w:spacing w:before="0" w:after="40" w:line="276" w:lineRule="auto"/>
      </w:pPr>
      <w:r>
        <w:t>Trang này đặc biệt phù hợp với thói quen quản lý quỹ kiểu: duy trì một mức nền, nếu rút ra thì phải bù lại, sau đó mới tiếp tục tích lũy để nâng mốc.</w:t>
      </w:r>
    </w:p>
    <w:p>
      <w:pPr>
        <w:pStyle w:val="Heading1"/>
        <w:spacing w:before="80" w:after="100" w:line="276" w:lineRule="auto"/>
      </w:pPr>
      <w:r>
        <w:t>2. Các khái niệm chính</w:t>
      </w:r>
    </w:p>
    <w:p>
      <w:pPr>
        <w:pStyle w:val="ListBullet"/>
        <w:spacing w:before="0" w:after="40" w:line="276" w:lineRule="auto"/>
      </w:pPr>
      <w:r>
        <w:t>Mốc mục tiêu hiện hành: là mức giá trị mà quỹ đang hướng tới ở thời điểm hiện tại. Mốc này không cố định; sau mỗi lần nộp vượt phần thiếu, mốc mới sẽ tăng lên.</w:t>
      </w:r>
    </w:p>
    <w:p>
      <w:pPr>
        <w:pStyle w:val="ListBullet"/>
        <w:spacing w:before="0" w:after="40" w:line="276" w:lineRule="auto"/>
      </w:pPr>
      <w:r>
        <w:t>Số dư hiện tại của quỹ: là số tiền thật đang có trong tài khoản quỹ liên kết.</w:t>
      </w:r>
    </w:p>
    <w:p>
      <w:pPr>
        <w:pStyle w:val="ListBullet"/>
        <w:spacing w:before="0" w:after="40" w:line="276" w:lineRule="auto"/>
      </w:pPr>
      <w:r>
        <w:t>Phần cần bù: là số tiền cần nộp để quỹ quay về đúng mốc mục tiêu hiện hành.</w:t>
      </w:r>
    </w:p>
    <w:p>
      <w:pPr>
        <w:pStyle w:val="ListBullet"/>
        <w:spacing w:before="0" w:after="40" w:line="276" w:lineRule="auto"/>
      </w:pPr>
      <w:r>
        <w:t>Phần tăng mốc: là phần tiền nộp vượt trên mức cần bù. Phần này làm mốc mục tiêu của kỳ sau tăng lên.</w:t>
      </w:r>
    </w:p>
    <w:p>
      <w:pPr>
        <w:pStyle w:val="ListBullet"/>
        <w:spacing w:before="0" w:after="40" w:line="276" w:lineRule="auto"/>
      </w:pPr>
      <w:r>
        <w:t>Tổng cần nộp kỳ tới: là số tiền người dùng dự kiến cần nộp trong kỳ tới để vừa bù phần thiếu vừa tăng thêm quỹ nếu muốn.</w:t>
      </w:r>
    </w:p>
    <w:p>
      <w:pPr>
        <w:pStyle w:val="Heading1"/>
        <w:spacing w:before="80" w:after="100" w:line="276" w:lineRule="auto"/>
      </w:pPr>
      <w:r>
        <w:t>3. Nguyên tắc tính của mô-đun Hoàn quỹ động</w:t>
      </w:r>
    </w:p>
    <w:p>
      <w:pPr>
        <w:pStyle w:val="ListBullet"/>
        <w:spacing w:before="0" w:after="40" w:line="276" w:lineRule="auto"/>
      </w:pPr>
      <w:r>
        <w:t>Phần cần bù được tính bằng: mốc mục tiêu hiện hành trừ số dư hiện tại, nhưng không nhỏ hơn không.</w:t>
      </w:r>
    </w:p>
    <w:p>
      <w:pPr>
        <w:pStyle w:val="ListBullet"/>
        <w:spacing w:before="0" w:after="40" w:line="276" w:lineRule="auto"/>
      </w:pPr>
      <w:r>
        <w:t>Khi ghi nhận một khoản nộp quỹ, hệ thống sẽ ưu tiên dùng khoản đó để bù phần thiếu trước.</w:t>
      </w:r>
    </w:p>
    <w:p>
      <w:pPr>
        <w:pStyle w:val="ListBullet"/>
        <w:spacing w:before="0" w:after="40" w:line="276" w:lineRule="auto"/>
      </w:pPr>
      <w:r>
        <w:t>Chỉ sau khi bù xong phần thiếu, phần tiền còn lại mới được tính là phần tăng mốc.</w:t>
      </w:r>
    </w:p>
    <w:p>
      <w:pPr>
        <w:pStyle w:val="ListBullet"/>
        <w:spacing w:before="0" w:after="40" w:line="276" w:lineRule="auto"/>
      </w:pPr>
      <w:r>
        <w:t>Mốc mục tiêu mới được tính bằng: mốc mục tiêu hiện hành cũ cộng với phần tăng mốc.</w:t>
      </w:r>
    </w:p>
    <w:p>
      <w:pPr>
        <w:pStyle w:val="ListBullet"/>
        <w:spacing w:before="0" w:after="40" w:line="276" w:lineRule="auto"/>
      </w:pPr>
      <w:r>
        <w:t>Nhờ vậy, mốc mục tiêu phản ánh đúng thực tế đóng góp của từng kỳ, thay vì dùng một khoản gửi cố định.</w:t>
      </w:r>
    </w:p>
    <w:p>
      <w:pPr>
        <w:pStyle w:val="Heading1"/>
        <w:spacing w:before="80" w:after="100" w:line="276" w:lineRule="auto"/>
      </w:pPr>
      <w:r>
        <w:t>4. Ví dụ minh họa</w:t>
      </w:r>
    </w:p>
    <w:p>
      <w:pPr>
        <w:pStyle w:val="ListBullet"/>
        <w:spacing w:before="0" w:after="40" w:line="276" w:lineRule="auto"/>
      </w:pPr>
      <w:r>
        <w:t>Ví dụ ban đầu: quỹ tiết kiệm đang có mốc mục tiêu hiện hành là ba mươi triệu đồng.</w:t>
      </w:r>
    </w:p>
    <w:p>
      <w:pPr>
        <w:pStyle w:val="ListBullet"/>
        <w:spacing w:before="0" w:after="40" w:line="276" w:lineRule="auto"/>
      </w:pPr>
      <w:r>
        <w:t>Người dùng cần rút tạm một triệu đồng, nên quỹ thực tế còn hai mươi chín triệu đồng.</w:t>
      </w:r>
    </w:p>
    <w:p>
      <w:pPr>
        <w:pStyle w:val="ListBullet"/>
        <w:spacing w:before="0" w:after="40" w:line="276" w:lineRule="auto"/>
      </w:pPr>
      <w:r>
        <w:t>Khi đó, phần cần bù là một triệu đồng để quỹ quay về đúng mốc ba mươi triệu đồng.</w:t>
      </w:r>
    </w:p>
    <w:p>
      <w:pPr>
        <w:pStyle w:val="ListBullet"/>
        <w:spacing w:before="0" w:after="40" w:line="276" w:lineRule="auto"/>
      </w:pPr>
      <w:r>
        <w:t>Nếu kỳ sau người dùng nộp ba triệu đồng, hệ thống sẽ tách như sau: một triệu đồng là phần cần bù, hai triệu đồng là phần tăng mốc.</w:t>
      </w:r>
    </w:p>
    <w:p>
      <w:pPr>
        <w:pStyle w:val="ListBullet"/>
        <w:spacing w:before="0" w:after="40" w:line="276" w:lineRule="auto"/>
      </w:pPr>
      <w:r>
        <w:t>Kết quả sau khi nộp đủ: số dư quỹ dự kiến là ba mươi hai triệu đồng và mốc mục tiêu hiện hành mới cũng trở thành ba mươi hai triệu đồng.</w:t>
      </w:r>
    </w:p>
    <w:p>
      <w:pPr>
        <w:pStyle w:val="Heading1"/>
        <w:spacing w:before="80" w:after="100" w:line="276" w:lineRule="auto"/>
      </w:pPr>
      <w:r>
        <w:t>5. Trang này giúp đọc thông tin như thế nào?</w:t>
      </w:r>
    </w:p>
    <w:p>
      <w:pPr>
        <w:pStyle w:val="ListBullet"/>
        <w:spacing w:before="0" w:after="40" w:line="276" w:lineRule="auto"/>
      </w:pPr>
      <w:r>
        <w:t>Khối tổng quan cho biết tổng phần cần bù của tất cả quỹ, tổng số tiền nên nộp trong kỳ tới, số quỹ đang theo dõi và giá trị dự kiến sau khi hoàn quỹ.</w:t>
      </w:r>
    </w:p>
    <w:p>
      <w:pPr>
        <w:pStyle w:val="ListBullet"/>
        <w:spacing w:before="0" w:after="40" w:line="276" w:lineRule="auto"/>
      </w:pPr>
      <w:r>
        <w:t>Bảng danh sách quỹ cho biết từng quỹ đang thiếu bao nhiêu, nếu nộp trong kỳ tới thì mốc mới sẽ là bao nhiêu và quỹ đó đang ở trạng thái đủ hay thiếu.</w:t>
      </w:r>
    </w:p>
    <w:p>
      <w:pPr>
        <w:pStyle w:val="ListBullet"/>
        <w:spacing w:before="0" w:after="40" w:line="276" w:lineRule="auto"/>
      </w:pPr>
      <w:r>
        <w:t>Khối lịch sử nộp quỹ cho biết mỗi lần nộp đã được phân tách thành phần bù hụt và phần tăng mốc như thế nào.</w:t>
      </w:r>
    </w:p>
    <w:p>
      <w:pPr>
        <w:pStyle w:val="ListBullet"/>
        <w:spacing w:before="0" w:after="40" w:line="276" w:lineRule="auto"/>
      </w:pPr>
      <w:r>
        <w:t>Khối mô phỏng cho phép ước lượng trước nhiều kỳ liên tiếp để xem nếu tiếp tục nộp đều thì quỹ sẽ tăng ra sao.</w:t>
      </w:r>
    </w:p>
    <w:p>
      <w:pPr>
        <w:pStyle w:val="Heading1"/>
        <w:spacing w:before="80" w:after="100" w:line="276" w:lineRule="auto"/>
      </w:pPr>
      <w:r>
        <w:t>6. Ý nghĩa đối với các biểu đồ và chỉ số ở trang Dashboard</w:t>
      </w:r>
    </w:p>
    <w:p>
      <w:pPr>
        <w:pStyle w:val="ListBullet"/>
        <w:spacing w:before="0" w:after="40" w:line="276" w:lineRule="auto"/>
      </w:pPr>
      <w:r>
        <w:t>Tổng tài sản và tỷ trọng tài sản vẫn phải phản ánh số dư thật đang có trong tài khoản, không cộng thêm phần nghĩa vụ tương lai.</w:t>
      </w:r>
    </w:p>
    <w:p>
      <w:pPr>
        <w:pStyle w:val="ListBullet"/>
        <w:spacing w:before="0" w:after="40" w:line="276" w:lineRule="auto"/>
      </w:pPr>
      <w:r>
        <w:t>Nếu quỹ đang thiếu so với mốc mục tiêu, Dashboard vẫn hiển thị số dư thật của quỹ, ví dụ hai mươi chín triệu đồng chứ không phải ba mươi triệu đồng.</w:t>
      </w:r>
    </w:p>
    <w:p>
      <w:pPr>
        <w:pStyle w:val="ListBullet"/>
        <w:spacing w:before="0" w:after="40" w:line="276" w:lineRule="auto"/>
      </w:pPr>
      <w:r>
        <w:t>Tuy nhiên, người dùng nên xem thêm các chỉ số riêng của Hoàn quỹ như phần cần bù hiện tại và tổng cần nộp kỳ tới để biết áp lực tiền mặt trong thời gian tới.</w:t>
      </w:r>
    </w:p>
    <w:p>
      <w:pPr>
        <w:pStyle w:val="ListBullet"/>
        <w:spacing w:before="0" w:after="40" w:line="276" w:lineRule="auto"/>
      </w:pPr>
      <w:r>
        <w:t>Về mặt nghiệp vụ, trang Hoàn quỹ động bổ sung một góc nhìn thứ hai cho Dashboard: không chỉ biết đang có bao nhiêu tiền, mà còn biết còn đang phải hoàn lại bao nhiêu cho các quỹ mục tiêu.</w:t>
      </w:r>
    </w:p>
    <w:p>
      <w:pPr>
        <w:pStyle w:val="Heading1"/>
        <w:spacing w:before="80" w:after="100" w:line="276" w:lineRule="auto"/>
      </w:pPr>
      <w:r>
        <w:t>7. Phạm vi của giai đoạn một</w:t>
      </w:r>
    </w:p>
    <w:p>
      <w:pPr>
        <w:pStyle w:val="ListBullet"/>
        <w:spacing w:before="0" w:after="40" w:line="276" w:lineRule="auto"/>
      </w:pPr>
      <w:r>
        <w:t>Giai đoạn một tập trung vào dữ liệu cục bộ và tệp xuất nhập dữ liệu.</w:t>
      </w:r>
    </w:p>
    <w:p>
      <w:pPr>
        <w:pStyle w:val="ListBullet"/>
        <w:spacing w:before="0" w:after="40" w:line="276" w:lineRule="auto"/>
      </w:pPr>
      <w:r>
        <w:t>Mô-đun đã hỗ trợ tạo quỹ, theo dõi mốc mục tiêu động, ghi nhận các lần nộp quỹ, tính phần cần bù và phần tăng mốc, đồng thời mô phỏng kỳ tới.</w:t>
      </w:r>
    </w:p>
    <w:p>
      <w:pPr>
        <w:pStyle w:val="ListBullet"/>
        <w:spacing w:before="0" w:after="40" w:line="276" w:lineRule="auto"/>
      </w:pPr>
      <w:r>
        <w:t>Giai đoạn một chưa tự động sinh nghĩa vụ hoàn quỹ từ giao dịch rút tiền và chưa đồng bộ dữ liệu riêng của Hoàn quỹ lên nền tảng đám mây.</w:t>
      </w:r>
    </w:p>
    <w:p>
      <w:pPr>
        <w:pStyle w:val="Heading1"/>
        <w:spacing w:before="80" w:after="100" w:line="276" w:lineRule="auto"/>
      </w:pPr>
      <w:r>
        <w:t>8. Khi nào nên dùng trang này?</w:t>
      </w:r>
    </w:p>
    <w:p>
      <w:pPr>
        <w:pStyle w:val="ListBullet"/>
        <w:spacing w:before="0" w:after="40" w:line="276" w:lineRule="auto"/>
      </w:pPr>
      <w:r>
        <w:t>Khi người dùng có các quỹ tích lũy dài hạn nhưng đôi lúc cần rút tạm để xử lý nhu cầu ngắn hạn.</w:t>
      </w:r>
    </w:p>
    <w:p>
      <w:pPr>
        <w:pStyle w:val="ListBullet"/>
        <w:spacing w:before="0" w:after="40" w:line="276" w:lineRule="auto"/>
      </w:pPr>
      <w:r>
        <w:t>Khi người dùng muốn biết rõ mình đang nợ quỹ bao nhiêu thay vì chỉ nhìn số dư còn lại.</w:t>
      </w:r>
    </w:p>
    <w:p>
      <w:pPr>
        <w:pStyle w:val="ListBullet"/>
        <w:spacing w:before="0" w:after="40" w:line="276" w:lineRule="auto"/>
      </w:pPr>
      <w:r>
        <w:t>Khi người dùng muốn tách bạch giữa tiền nộp để bù hụt và tiền nộp để tăng mục tiêu tích lũy.</w:t>
      </w:r>
    </w:p>
    <w:p>
      <w:pPr>
        <w:pStyle w:val="Heading1"/>
        <w:spacing w:before="40" w:after="80" w:line="276" w:lineRule="auto"/>
      </w:pPr>
      <w:r>
        <w:t>9. Bảng tóm tắt công thức</w:t>
      </w:r>
    </w:p>
    <w:tbl>
      <w:tblPr>
        <w:tblStyle w:val="TableGrid"/>
        <w:tblW w:type="auto" w:w="0"/>
        <w:tblLayout w:type="fixed"/>
        <w:tblLook w:firstColumn="1" w:firstRow="1" w:lastColumn="0" w:lastRow="0" w:noHBand="0" w:noVBand="1" w:val="04A0"/>
      </w:tblPr>
      <w:tblGrid>
        <w:gridCol w:w="2438"/>
        <w:gridCol w:w="3742"/>
        <w:gridCol w:w="2891"/>
      </w:tblGrid>
      <w:tr>
        <w:tc>
          <w:tcPr>
            <w:tcW w:type="dxa" w:w="2438"/>
            <w:shd w:fill="DCEFE6"/>
          </w:tcPr>
          <w:p>
            <w:pPr>
              <w:spacing w:before="0" w:after="0" w:line="240" w:lineRule="auto"/>
              <w:jc w:val="center"/>
            </w:pPr>
            <w:r>
              <w:rPr>
                <w:rFonts w:ascii="Arial" w:hAnsi="Arial" w:eastAsia="Arial"/>
                <w:b/>
                <w:color w:val="183226"/>
                <w:sz w:val="18"/>
              </w:rPr>
              <w:t>Chỉ tiêu</w:t>
            </w:r>
          </w:p>
        </w:tc>
        <w:tc>
          <w:tcPr>
            <w:tcW w:type="dxa" w:w="3742"/>
            <w:shd w:fill="DCEFE6"/>
          </w:tcPr>
          <w:p>
            <w:pPr>
              <w:spacing w:before="0" w:after="0" w:line="240" w:lineRule="auto"/>
              <w:jc w:val="center"/>
            </w:pPr>
            <w:r>
              <w:rPr>
                <w:rFonts w:ascii="Arial" w:hAnsi="Arial" w:eastAsia="Arial"/>
                <w:b/>
                <w:color w:val="183226"/>
                <w:sz w:val="18"/>
              </w:rPr>
              <w:t>Cách hiểu</w:t>
            </w:r>
          </w:p>
        </w:tc>
        <w:tc>
          <w:tcPr>
            <w:tcW w:type="dxa" w:w="2891"/>
            <w:shd w:fill="DCEFE6"/>
          </w:tcPr>
          <w:p>
            <w:pPr>
              <w:spacing w:before="0" w:after="0" w:line="240" w:lineRule="auto"/>
              <w:jc w:val="center"/>
            </w:pPr>
            <w:r>
              <w:rPr>
                <w:rFonts w:ascii="Arial" w:hAnsi="Arial" w:eastAsia="Arial"/>
                <w:b/>
                <w:color w:val="183226"/>
                <w:sz w:val="18"/>
              </w:rPr>
              <w:t>Cách tính</w:t>
            </w:r>
          </w:p>
        </w:tc>
      </w:tr>
      <w:tr>
        <w:tc>
          <w:tcPr>
            <w:tcW w:type="dxa" w:w="2438"/>
          </w:tcPr>
          <w:p>
            <w:pPr>
              <w:spacing w:before="0" w:after="0" w:line="240" w:lineRule="auto"/>
              <w:jc w:val="center"/>
            </w:pPr>
            <w:r>
              <w:rPr>
                <w:rFonts w:ascii="Arial" w:hAnsi="Arial" w:eastAsia="Arial"/>
                <w:sz w:val="18"/>
              </w:rPr>
              <w:t>Mốc mục tiêu hiện hành</w:t>
            </w:r>
          </w:p>
        </w:tc>
        <w:tc>
          <w:tcPr>
            <w:tcW w:type="dxa" w:w="3742"/>
          </w:tcPr>
          <w:p>
            <w:pPr>
              <w:spacing w:before="0" w:after="0" w:line="240" w:lineRule="auto"/>
              <w:jc w:val="left"/>
            </w:pPr>
            <w:r>
              <w:rPr>
                <w:rFonts w:ascii="Arial" w:hAnsi="Arial" w:eastAsia="Arial"/>
                <w:sz w:val="18"/>
              </w:rPr>
              <w:t>Mức quỹ đang hướng tới ở thời điểm hiện tại</w:t>
            </w:r>
          </w:p>
        </w:tc>
        <w:tc>
          <w:tcPr>
            <w:tcW w:type="dxa" w:w="2891"/>
          </w:tcPr>
          <w:p>
            <w:pPr>
              <w:spacing w:before="0" w:after="0" w:line="240" w:lineRule="auto"/>
              <w:jc w:val="left"/>
            </w:pPr>
            <w:r>
              <w:rPr>
                <w:rFonts w:ascii="Arial" w:hAnsi="Arial" w:eastAsia="Arial"/>
                <w:sz w:val="18"/>
              </w:rPr>
              <w:t>Được giữ nguyên cho đến khi có khoản nộp vượt mức cần bù</w:t>
            </w:r>
          </w:p>
        </w:tc>
      </w:tr>
      <w:tr>
        <w:tc>
          <w:tcPr>
            <w:tcW w:type="dxa" w:w="2438"/>
          </w:tcPr>
          <w:p>
            <w:pPr>
              <w:spacing w:before="0" w:after="0" w:line="240" w:lineRule="auto"/>
              <w:jc w:val="center"/>
            </w:pPr>
            <w:r>
              <w:rPr>
                <w:rFonts w:ascii="Arial" w:hAnsi="Arial" w:eastAsia="Arial"/>
                <w:sz w:val="18"/>
              </w:rPr>
              <w:t>Phần cần bù</w:t>
            </w:r>
          </w:p>
        </w:tc>
        <w:tc>
          <w:tcPr>
            <w:tcW w:type="dxa" w:w="3742"/>
          </w:tcPr>
          <w:p>
            <w:pPr>
              <w:spacing w:before="0" w:after="0" w:line="240" w:lineRule="auto"/>
              <w:jc w:val="left"/>
            </w:pPr>
            <w:r>
              <w:rPr>
                <w:rFonts w:ascii="Arial" w:hAnsi="Arial" w:eastAsia="Arial"/>
                <w:sz w:val="18"/>
              </w:rPr>
              <w:t>Số tiền phải nộp để quay về mốc hiện hành</w:t>
            </w:r>
          </w:p>
        </w:tc>
        <w:tc>
          <w:tcPr>
            <w:tcW w:type="dxa" w:w="2891"/>
          </w:tcPr>
          <w:p>
            <w:pPr>
              <w:spacing w:before="0" w:after="0" w:line="240" w:lineRule="auto"/>
              <w:jc w:val="left"/>
            </w:pPr>
            <w:r>
              <w:rPr>
                <w:rFonts w:ascii="Arial" w:hAnsi="Arial" w:eastAsia="Arial"/>
                <w:sz w:val="18"/>
              </w:rPr>
              <w:t>Lớn hơn hoặc bằng không, bằng mốc hiện hành trừ số dư hiện tại</w:t>
            </w:r>
          </w:p>
        </w:tc>
      </w:tr>
      <w:tr>
        <w:tc>
          <w:tcPr>
            <w:tcW w:type="dxa" w:w="2438"/>
          </w:tcPr>
          <w:p>
            <w:pPr>
              <w:spacing w:before="0" w:after="0" w:line="240" w:lineRule="auto"/>
              <w:jc w:val="center"/>
            </w:pPr>
            <w:r>
              <w:rPr>
                <w:rFonts w:ascii="Arial" w:hAnsi="Arial" w:eastAsia="Arial"/>
                <w:sz w:val="18"/>
              </w:rPr>
              <w:t>Phần tăng mốc</w:t>
            </w:r>
          </w:p>
        </w:tc>
        <w:tc>
          <w:tcPr>
            <w:tcW w:type="dxa" w:w="3742"/>
          </w:tcPr>
          <w:p>
            <w:pPr>
              <w:spacing w:before="0" w:after="0" w:line="240" w:lineRule="auto"/>
              <w:jc w:val="left"/>
            </w:pPr>
            <w:r>
              <w:rPr>
                <w:rFonts w:ascii="Arial" w:hAnsi="Arial" w:eastAsia="Arial"/>
                <w:sz w:val="18"/>
              </w:rPr>
              <w:t>Phần tiền nộp vượt trên mức cần bù</w:t>
            </w:r>
          </w:p>
        </w:tc>
        <w:tc>
          <w:tcPr>
            <w:tcW w:type="dxa" w:w="2891"/>
          </w:tcPr>
          <w:p>
            <w:pPr>
              <w:spacing w:before="0" w:after="0" w:line="240" w:lineRule="auto"/>
              <w:jc w:val="left"/>
            </w:pPr>
            <w:r>
              <w:rPr>
                <w:rFonts w:ascii="Arial" w:hAnsi="Arial" w:eastAsia="Arial"/>
                <w:sz w:val="18"/>
              </w:rPr>
              <w:t>Bằng số tiền nộp thực tế trừ phần đã dùng để bù</w:t>
            </w:r>
          </w:p>
        </w:tc>
      </w:tr>
      <w:tr>
        <w:tc>
          <w:tcPr>
            <w:tcW w:type="dxa" w:w="2438"/>
          </w:tcPr>
          <w:p>
            <w:pPr>
              <w:spacing w:before="0" w:after="0" w:line="240" w:lineRule="auto"/>
              <w:jc w:val="center"/>
            </w:pPr>
            <w:r>
              <w:rPr>
                <w:rFonts w:ascii="Arial" w:hAnsi="Arial" w:eastAsia="Arial"/>
                <w:sz w:val="18"/>
              </w:rPr>
              <w:t>Mốc mục tiêu mới</w:t>
            </w:r>
          </w:p>
        </w:tc>
        <w:tc>
          <w:tcPr>
            <w:tcW w:type="dxa" w:w="3742"/>
          </w:tcPr>
          <w:p>
            <w:pPr>
              <w:spacing w:before="0" w:after="0" w:line="240" w:lineRule="auto"/>
              <w:jc w:val="left"/>
            </w:pPr>
            <w:r>
              <w:rPr>
                <w:rFonts w:ascii="Arial" w:hAnsi="Arial" w:eastAsia="Arial"/>
                <w:sz w:val="18"/>
              </w:rPr>
              <w:t>Mức mục tiêu sau khi chốt kỳ nộp</w:t>
            </w:r>
          </w:p>
        </w:tc>
        <w:tc>
          <w:tcPr>
            <w:tcW w:type="dxa" w:w="2891"/>
          </w:tcPr>
          <w:p>
            <w:pPr>
              <w:spacing w:before="0" w:after="0" w:line="240" w:lineRule="auto"/>
              <w:jc w:val="left"/>
            </w:pPr>
            <w:r>
              <w:rPr>
                <w:rFonts w:ascii="Arial" w:hAnsi="Arial" w:eastAsia="Arial"/>
                <w:sz w:val="18"/>
              </w:rPr>
              <w:t>Bằng mốc hiện hành cũ cộng với phần tăng mốc</w:t>
            </w:r>
          </w:p>
        </w:tc>
      </w:tr>
    </w:tbl>
    <w:p/>
    <w:p>
      <w:pPr>
        <w:jc w:val="right"/>
      </w:pPr>
      <w:r>
        <w:rPr>
          <w:i/>
          <w:sz w:val="19"/>
        </w:rPr>
        <w:t>Tài liệu nội bộ dùng để giải thích nghiệp vụ của trang Hoàn quỹ động.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22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08A5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