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pPr>
        <w:pStyle w:val="Heading2"/>
      </w:pPr>
      <w:r>
        <w:t>1. Payment Terms</w:t>
      </w:r>
    </w:p>
    <w:p>
      <w:r>
        <w:t>The client must pay within 30 days.</w:t>
      </w:r>
    </w:p>
    <w:p>
      <w:pPr>
        <w:pStyle w:val="Heading3"/>
      </w:pPr>
      <w:r>
        <w:t>1.1 Late Fees</w:t>
      </w:r>
    </w:p>
    <w:p>
      <w:r>
        <w:t>Late payments may incur additional fees.</w:t>
      </w:r>
    </w:p>
    <w:p>
      <w:pPr>
        <w:pStyle w:val="Heading2"/>
      </w:pPr>
      <w:r>
        <w:t>2. Termination</w:t>
      </w:r>
    </w:p>
    <w:p>
      <w:r>
        <w:t>Either party may terminate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