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t>«Национальный исследовательский университет ИТМО»</w:t>
      </w:r>
    </w:p>
    <w:p>
      <w:pPr>
        <w:jc w:val="center"/>
      </w:pPr>
      <w:r>
        <w:t>Факультет программной инженерии и компьютерной техники</w:t>
      </w:r>
    </w:p>
    <w:p/>
    <w:p/>
    <w:p/>
    <w:p>
      <w:pPr>
        <w:jc w:val="center"/>
      </w:pPr>
      <w:r>
        <w:rPr>
          <w:b/>
          <w:sz w:val="36"/>
        </w:rPr>
        <w:t>ЛАБОРАТОРНАЯ РАБОТА № 1</w:t>
      </w:r>
    </w:p>
    <w:p>
      <w:pPr>
        <w:jc w:val="center"/>
      </w:pPr>
      <w:r>
        <w:t>по дисциплине «Экономика программной инженерии»</w:t>
      </w:r>
    </w:p>
    <w:p>
      <w:pPr>
        <w:jc w:val="center"/>
      </w:pPr>
      <w:r>
        <w:t>Оценка трудоёмкости разработки веб-проекта</w:t>
      </w:r>
    </w:p>
    <w:p>
      <w:pPr>
        <w:jc w:val="center"/>
      </w:pPr>
      <w:r>
        <w:t>Вариант: stepik.org</w:t>
      </w:r>
    </w:p>
    <w:p/>
    <w:p/>
    <w:p/>
    <w:p>
      <w:pPr>
        <w:jc w:val="right"/>
      </w:pPr>
      <w:r>
        <w:t>Работу выполнили:</w:t>
      </w:r>
    </w:p>
    <w:p>
      <w:pPr>
        <w:jc w:val="right"/>
      </w:pPr>
      <w:r>
        <w:t>Трикашный Михаил Дмитриевич</w:t>
      </w:r>
    </w:p>
    <w:p>
      <w:pPr>
        <w:jc w:val="right"/>
      </w:pPr>
      <w:r>
        <w:t>Амузинский Артем Андреевич</w:t>
      </w:r>
    </w:p>
    <w:p>
      <w:pPr>
        <w:jc w:val="right"/>
      </w:pPr>
      <w:r>
        <w:t>Группа P3406</w:t>
      </w:r>
    </w:p>
    <w:p/>
    <w:p/>
    <w:p/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Задание и границы исследования</w:t>
      </w:r>
    </w:p>
    <w:p>
      <w:r>
        <w:t>2. Функциональные требования</w:t>
      </w:r>
    </w:p>
    <w:p>
      <w:r>
        <w:t>3. Наивная оценка</w:t>
      </w:r>
    </w:p>
    <w:p>
      <w:r>
        <w:t>4. PERT, критический путь и команда</w:t>
      </w:r>
    </w:p>
    <w:p>
      <w:r>
        <w:t>5. Функциональные точки</w:t>
      </w:r>
    </w:p>
    <w:p>
      <w:r>
        <w:t>6. COCOMO II</w:t>
      </w:r>
    </w:p>
    <w:p>
      <w:r>
        <w:t>7. Use Case Points</w:t>
      </w:r>
    </w:p>
    <w:p>
      <w:r>
        <w:t>8. Сравнение результатов и вывод</w:t>
      </w:r>
    </w:p>
    <w:p>
      <w:r>
        <w:t>9. Источники</w:t>
      </w:r>
    </w:p>
    <w:p>
      <w:r>
        <w:br w:type="page"/>
      </w:r>
    </w:p>
    <w:p>
      <w:pPr>
        <w:pStyle w:val="Heading1"/>
      </w:pPr>
      <w:r>
        <w:t>1. Задание и границы исследования</w:t>
      </w:r>
    </w:p>
    <w:p>
      <w:r>
        <w:t>Цель работы — сформировать требования к веб-проекту по варианту stepik.org и оценить разработку несколькими методами. Объект оценки — новый веб-продукт с согласованным набором функций аналога Stepik. Числа не описывают фактическую стоимость, штат или историю разработки Stepik.</w:t>
      </w:r>
    </w:p>
    <w:p>
      <w:r>
        <w:t>Задание: сформировать функциональные требования; выполнить наивную оценку и PERT; построить сетевую диаграмму, найти критический путь и предложить команду; оценить функциональные точки и трудоёмкость COCOMO II; выполнить UCP с калибровкой PF по собственному завершённому проекту; сравнить результаты. Planning Poker требуется для трёх участников; работу выполняют два человека.</w:t>
      </w:r>
    </w:p>
    <w:p>
      <w:r>
        <w:t>Исследование проведено 14.09.2026 по публичному каталогу [S1] и официальным справочным статьям [S2–S11]. Каталог загружается динамически; его интерфейс и закрытые кабинеты не проходили интерактивное тестирование. Требования основаны на документации. Конкретные правила приёмки, архитектура, нагрузка и численные оценки являются проектными допущениями.</w:t>
      </w:r>
    </w:p>
    <w:p>
      <w:r>
        <w:t>Веб-версия включает аккаунты, каталог, обучение, тесты трёх типов, задачи на код, ручную проверку преподавателем, прогресс, сертификаты, обсуждения, авторский редактор, отчёты, оплату, промокоды и модерацию. Структура курса и создание материалов подтверждены [S3, S4], проверка заданий — [S5], покупка доступа — [S6].</w:t>
      </w:r>
    </w:p>
    <w:p>
      <w:r>
        <w:t>Внешние готовые сервисы: один платёжный провайдер, изолированная проверка Python-кода, доставка email и объектное хранилище видео/файлов. Включены разработка адаптеров, обработка ошибок и проверка интеграций. Собственные платёжный процессинг, видеотранскодер и изолирующая среда исполнения не разрабатываются. Это решение для оцениваемого аналога, а не описание внутренней архитектуры Stepik.</w:t>
      </w:r>
    </w:p>
    <w:p>
      <w:r>
        <w:t>За границами: мобильные приложения, офлайн-режим, ML-рекомендации, программы из нескольких курсов, корпоративные классы, LTI, SQL/HTML-задачи, peer review, рассрочки, подарки, автоматизация возвратов и выплат авторам, производство учебного контента и длительное сопровождение. Обращения по возвратам в этой версии обрабатывает оператор вне приложения. Все четыре метода используют именно эти функциональные границы.</w:t>
      </w:r>
    </w:p>
    <w:p>
      <w:r>
        <w:t>Результат разработки — принятая и развёрнутая версия. В WBS включены анализ, дизайн, интеграции, тестирование, документация и выпуск. На одну работу назначается один исполнитель; тесты модуля входят в его реализацию, отдельные работы проверки отвечают за межмодульные сценарии. Неделя — 40 рабочих часов, день — 8. Номинальный человеко-месяц COCOMO — 152 часа [M2].</w:t>
      </w:r>
    </w:p>
    <w:p>
      <w:r>
        <w:t>Авторы сообщили об отсутствии собственного завершённого проекта с известными трудозатратами. Поэтому экспериментальная калибровка PF в пункте 5 задания не выполнена. Раздел UCP содержит полный подсчёт размера и анализ чувствительности к условному PF; это ограничение сохранено в выводах.</w:t>
      </w:r>
    </w:p>
    <w:p>
      <w:r>
        <w:br w:type="page"/>
      </w:r>
    </w:p>
    <w:p>
      <w:pPr>
        <w:pStyle w:val="Heading1"/>
      </w:pPr>
      <w:r>
        <w:t>2. Функциональные требования</w:t>
      </w:r>
    </w:p>
    <w:p>
      <w:r>
        <w:t>В колонке «Основание» S — источник из раздела 9; П — проектное допущение. Критерии приёмки относятся к разрабатываемому аналогу. Они делают оценку проверяемой, но не утверждают, что реальный Stepik реализует все технические детали именно так.</w:t>
      </w:r>
    </w:p>
    <w:p>
      <w:pPr>
        <w:pStyle w:val="Heading2"/>
      </w:pPr>
      <w:r>
        <w:t>Аккаунт</w:t>
      </w:r>
    </w:p>
    <w:p>
      <w:r>
        <w:t>FR01. Регистрация и подтверждение email. Новый адрес создаёт аккаунт; повторный адрес отклоняется; ссылка подтверждает адрес однократно. Основание: [S4; П: детали проверки].</w:t>
      </w:r>
    </w:p>
    <w:p>
      <w:r>
        <w:t>FR02. Вход, выход и восстановление пароля. Верные данные открывают сессию; выход закрывает её; использованный токен сброса повторно не действует. Основание: [S4; П: сценарии безопасности].</w:t>
      </w:r>
    </w:p>
    <w:p>
      <w:r>
        <w:t>FR03. Профиль и настройки уведомлений. Учащийся сохраняет имя и предпочтения; другой пользователь не может их изменить. Основание: [S8; П: поля профиля].</w:t>
      </w:r>
    </w:p>
    <w:p>
      <w:pPr>
        <w:pStyle w:val="Heading2"/>
      </w:pPr>
      <w:r>
        <w:t>Каталог</w:t>
      </w:r>
    </w:p>
    <w:p>
      <w:r>
        <w:t>FR04. Каталог, категории, поиск и фильтры. По запросу и выбранным категории, языку и платности возвращаются подходящие опубликованные курсы. Основание: [S1, S2, S10; П: набор фильтров].</w:t>
      </w:r>
    </w:p>
    <w:p>
      <w:r>
        <w:t>FR05. Карточка курса. Посетитель видит описание, автора, программу, цену и условия сертификата до записи. Основание: [S3, S6, S7; П: состав карточки].</w:t>
      </w:r>
    </w:p>
    <w:p>
      <w:pPr>
        <w:pStyle w:val="Heading2"/>
      </w:pPr>
      <w:r>
        <w:t>Обучение</w:t>
      </w:r>
    </w:p>
    <w:p>
      <w:r>
        <w:t>FR06. Запись и список моих курсов. Запись на бесплатный курс создаёт один доступ; повторный запрос не дублирует его; курс появляется в кабинете. Основание: [S2, S6; П: идемпотентность].</w:t>
      </w:r>
    </w:p>
    <w:p>
      <w:r>
        <w:t>FR07. Просмотр текстовых и видеошагов. Зачисленный учащийся открывает доступный шаг, просматривает материал и возвращается к последней позиции. Основание: [S3; П: сохранение позиции].</w:t>
      </w:r>
    </w:p>
    <w:p>
      <w:r>
        <w:t>FR08. Решение тестовых задач. Выбор варианта, число и строка проверяются по правилам автора; сохраняются ответ и результат попытки. Основание: [S5; П: три типа в границах].</w:t>
      </w:r>
    </w:p>
    <w:p>
      <w:r>
        <w:t>FR09. Решение задач на программирование. Код отправляется на проверку; учащийся получает статус, итог тестов и диагностическое сообщение; скрытые тесты не раскрываются. Основание: [S5; П: интеграция с готовым grader].</w:t>
      </w:r>
    </w:p>
    <w:p>
      <w:r>
        <w:t>FR10. Прогресс и баллы. Принятый результат обновляет баллы и долю пройденных шагов; повторный callback не удваивает баллы. Основание: [S3, S9; П: правило повторов].</w:t>
      </w:r>
    </w:p>
    <w:p>
      <w:r>
        <w:t>FR11. Сертификат. При включённом сертификате и достижении порога формируется документ с именем, курсом, баллами и проверочной ссылкой. Основание: [S7; П: формат документа].</w:t>
      </w:r>
    </w:p>
    <w:p>
      <w:pPr>
        <w:pStyle w:val="Heading2"/>
      </w:pPr>
      <w:r>
        <w:t>Общение</w:t>
      </w:r>
    </w:p>
    <w:p>
      <w:r>
        <w:t>FR12. Комментарии и ответы. Участник оставляет комментарий к шагу, отвечает и удаляет собственный; преподаватель может модерировать обсуждение. Основание: [S8, S11].</w:t>
      </w:r>
    </w:p>
    <w:p>
      <w:r>
        <w:t>FR13. Отзывы о курсе. Зачисленный пользователь публикует оценку и текст; одна актуальная оценка на пользователя учитывается в среднем рейтинге. Основание: [S11; П: правила агрегации].</w:t>
      </w:r>
    </w:p>
    <w:p>
      <w:r>
        <w:t>FR14. Новости и уведомления. Автор публикует новость; учащийся видит уведомление и может прочитать его; email учитывает настройки профиля. Основание: [S8; П: доставка через email API].</w:t>
      </w:r>
    </w:p>
    <w:p>
      <w:pPr>
        <w:pStyle w:val="Heading2"/>
      </w:pPr>
      <w:r>
        <w:t>Преподавание</w:t>
      </w:r>
    </w:p>
    <w:p>
      <w:r>
        <w:t>FR15. Создание и редактирование курса. Автор создаёт черновик, меняет описание и категорию, выбирает публичный или приватный доступ, публикует заполненный курс. Основание: [S4, S10; П: валидация публикации].</w:t>
      </w:r>
    </w:p>
    <w:p>
      <w:r>
        <w:t>FR16. Структура и материалы курса. Автор добавляет, редактирует, упорядочивает и удаляет модули, уроки, текстовые и видеошаги с проверкой зависимостей. Основание: [S3, S4; П: запрет удаления использованного шага].</w:t>
      </w:r>
    </w:p>
    <w:p>
      <w:r>
        <w:t>FR17. Настройка практических задач. Автор сохраняет условие, эталон, баллы; для кода задаёт язык, лимиты и тесты, затем запускает пробную проверку. Основание: [S5; П: готовый grader, один язык Python].</w:t>
      </w:r>
    </w:p>
    <w:p>
      <w:r>
        <w:t>FR18. Проверка свободного ответа. Преподаватель открывает ответ, назначает баллы и обратную связь; учащийся видит результат. Основание: [S5; П: только преподаватель, без peer review].</w:t>
      </w:r>
    </w:p>
    <w:p>
      <w:r>
        <w:t>FR19. Команда курса и доступ. Владелец назначает соавтора, снимает роль, выдаёт и отзывает доступ к приватному курсу. Основание: [S4; П: упрощённые роли].</w:t>
      </w:r>
    </w:p>
    <w:p>
      <w:r>
        <w:t>FR20. Статистика и экспорт результатов. Преподаватель получает таблицу прогресса и баллов своих учащихся и выгружает CSV; чужой курс недоступен. Основание: [S9; П: формат CSV].</w:t>
      </w:r>
    </w:p>
    <w:p>
      <w:pPr>
        <w:pStyle w:val="Heading2"/>
      </w:pPr>
      <w:r>
        <w:t>Монетизация</w:t>
      </w:r>
    </w:p>
    <w:p>
      <w:r>
        <w:t>FR21. Покупка доступа. Создаётся заказ и переход к провайдеру; только подтверждённый серверный статус выдаёт доступ; неуспех сохраняет заказ неоплаченным. Основание: [S6; П: единый провайдер, callback].</w:t>
      </w:r>
    </w:p>
    <w:p>
      <w:r>
        <w:t>FR22. Цена и промокоды. Автор меняет цену и создаёт промокод со сроком и лимитом; допустимый код снижает стоимость заказа. Основание: [S6; П: ограничения промокодов].</w:t>
      </w:r>
    </w:p>
    <w:p>
      <w:pPr>
        <w:pStyle w:val="Heading2"/>
      </w:pPr>
      <w:r>
        <w:t>Администрирование</w:t>
      </w:r>
    </w:p>
    <w:p>
      <w:r>
        <w:t>FR23. Модерация и ограничения. Модератор скрывает нарушающий правила материал и ограничивает общение пользователя; действие записывается в журнал. Основание: [S11; П: журнал действий].</w:t>
      </w:r>
    </w:p>
    <w:p>
      <w:r>
        <w:t>FR24. Управление справочником категорий. Администратор создаёт, переименовывает и архивирует категорию; архивная категория недоступна для нового назначения. Основание: [S10; П: административный интерфейс].</w:t>
      </w:r>
    </w:p>
    <w:p>
      <w:pPr>
        <w:pStyle w:val="Heading2"/>
      </w:pPr>
      <w:r>
        <w:t>Ограничения качества и риски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44"/>
        <w:gridCol w:w="8177"/>
      </w:tblGrid>
      <w:tr>
        <w:trPr>
          <w:tblHeader/>
          <w:cantSplit/>
        </w:trPr>
        <w:tc>
          <w:tcPr>
            <w:tcW w:type="dxa" w:w="174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Область</w:t>
            </w:r>
          </w:p>
        </w:tc>
        <w:tc>
          <w:tcPr>
            <w:tcW w:type="dxa" w:w="8177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Принятое допущение / критерий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Нагрузка</w:t>
            </w:r>
          </w:p>
        </w:tc>
        <w:tc>
          <w:tcPr>
            <w:tcW w:type="dxa" w:w="817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До 1 000 одновременно активных сессий и 20 отправок заданий/с; p95 обычного API ≤ 1 с на согласованном стенде. Время внешней проверки учитывается отдельно.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type="dxa" w:w="817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Проверка ролей на сервере, хеширование паролей, подписи callback, отсутствие доступа к чужим попыткам. Grader запускает код в готовой изолированной среде.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Надёжность</w:t>
            </w:r>
          </w:p>
        </w:tc>
        <w:tc>
          <w:tcPr>
            <w:tcW w:type="dxa" w:w="817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Повторное подтверждение оплаты и результата задания не создаёт второй доступ или дополнительные баллы; резервное копирование и проверка восстановления.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Интерфейс</w:t>
            </w:r>
          </w:p>
        </w:tc>
        <w:tc>
          <w:tcPr>
            <w:tcW w:type="dxa" w:w="817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Адаптивная веб-версия, основные сценарии доступны с клавиатуры; состояния ожидания, пустых данных и отказа сервиса.</w:t>
            </w:r>
          </w:p>
        </w:tc>
      </w:tr>
      <w:tr>
        <w:trPr>
          <w:cantSplit/>
        </w:trPr>
        <w:tc>
          <w:tcPr>
            <w:tcW w:type="dxa" w:w="174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Основной риск</w:t>
            </w:r>
          </w:p>
        </w:tc>
        <w:tc>
          <w:tcPr>
            <w:tcW w:type="dxa" w:w="817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Недооценка интеграции grader и платежей. У работ A10 и A23 расширена пессимистическая оценка; внешние тарифы и эксплуатационные расходы в часах разработки не учитываются.</w:t>
            </w:r>
          </w:p>
        </w:tc>
      </w:tr>
    </w:tbl>
    <w:p>
      <w:r>
        <w:br w:type="page"/>
      </w:r>
    </w:p>
    <w:p>
      <w:pPr>
        <w:pStyle w:val="Heading1"/>
      </w:pPr>
      <w:r>
        <w:t>3. Наивная оценка</w:t>
      </w:r>
    </w:p>
    <w:p>
      <w:r>
        <w:t>Для каждой работы заданы оптимистическая O, наиболее вероятная M и пессимистическая P оценки в человеко-часах. Наивный метод суммирует M и предполагает выполнение всех перечисленных работ без дополнительного статистического резерва. Это экспертные оценки, а не измерения.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5"/>
        <w:gridCol w:w="4171"/>
        <w:gridCol w:w="1568"/>
        <w:gridCol w:w="1568"/>
        <w:gridCol w:w="1568"/>
      </w:tblGrid>
      <w:tr>
        <w:trPr>
          <w:tblHeader/>
          <w:cantSplit/>
        </w:trPr>
        <w:tc>
          <w:tcPr>
            <w:tcW w:type="dxa" w:w="1045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417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Работа</w:t>
            </w:r>
          </w:p>
        </w:tc>
        <w:tc>
          <w:tcPr>
            <w:tcW w:type="dxa" w:w="1568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O</w:t>
            </w:r>
          </w:p>
        </w:tc>
        <w:tc>
          <w:tcPr>
            <w:tcW w:type="dxa" w:w="1568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M</w:t>
            </w:r>
          </w:p>
        </w:tc>
        <w:tc>
          <w:tcPr>
            <w:tcW w:type="dxa" w:w="1568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P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A01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Сбор и анализ требований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72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A02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Архитектура и модель данных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96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A03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Прототипы и дизайн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128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A04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Каркас приложения и CI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A05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Аккаунты и роли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144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A06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Профиль и настройки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A07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Редактор курса и категории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96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160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A08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Редактор структуры и материалов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200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A09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Редактор тестовых заданий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136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A10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Интеграция проверки кода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96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280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A11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Каталог и поиск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144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A12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Карточка курса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A13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Запись и кабинет учащегося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104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A14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Проигрыватель учебных шагов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176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A15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Приём и проверка тестовых ответов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128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A16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Интерфейс решения задач на код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144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A17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Проверка преподавателем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112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A18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Прогресс и начисление баллов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112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A19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Выдача сертификатов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96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A20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Комментарии и ответы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104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A21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Отзывы и рейтинг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A22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Новости и уведомления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112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A23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Заказы и платежи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184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A24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Цены и промокоды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88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A25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Отчёты преподавателя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112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A26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Модерация и аудит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104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A27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Проверка адаптивности и доступности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96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A28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Безопасность интеграций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128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A29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Интеграционные и сквозные проверки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176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A30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Нагрузка и оптимизация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112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A31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Документация и эксплуатационные инструкции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10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A32</w:t>
            </w:r>
          </w:p>
        </w:tc>
        <w:tc>
          <w:tcPr>
            <w:tcW w:type="dxa" w:w="417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Приёмка и выпуск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type="dxa" w:w="156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88</w:t>
            </w:r>
          </w:p>
        </w:tc>
      </w:tr>
    </w:tbl>
    <w:p>
      <w:r>
        <w:t>Наивная трудоёмкость: H = ΣM = 2304 чел·ч. Для одного исполнителя это 288,00 рабочих дней или 57,60 рабочих недель. Деление на размер команды само по себе не учитывает зависимости.</w:t>
      </w:r>
    </w:p>
    <w:p>
      <w:r>
        <w:t>Подробный результат каждой работы и её связь с FR приведены на листе «Работы» книги Excel. A01–A04 создают основу; A05–A26 реализуют функции; A27–A32 проверяют качество и выпускают продукт. Модульные тесты и обычные исправления включены в оценки реализации, чтобы не добавлять их второй раз к итогу.</w:t>
      </w:r>
    </w:p>
    <w:p>
      <w:r>
        <w:br w:type="page"/>
      </w:r>
    </w:p>
    <w:p>
      <w:pPr>
        <w:pStyle w:val="Heading1"/>
      </w:pPr>
      <w:r>
        <w:t>4. PERT, критический путь и команда</w:t>
      </w:r>
    </w:p>
    <w:p>
      <w:r>
        <w:t>Для работы i: TEᵢ = (Oᵢ + 4Mᵢ + Pᵢ)/6; σᵢ = (Pᵢ − Oᵢ)/6; Varᵢ = σᵢ². Ожидаемая трудоёмкость H = ΣTEᵢ. При независимости длительностей σH = √ΣVarᵢ. В расчётах сохраняется полная точность, округление применяется только при выводе.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1"/>
        <w:gridCol w:w="2821"/>
        <w:gridCol w:w="1936"/>
        <w:gridCol w:w="1936"/>
        <w:gridCol w:w="1936"/>
      </w:tblGrid>
      <w:tr>
        <w:trPr>
          <w:tblHeader/>
          <w:cantSplit/>
        </w:trPr>
        <w:tc>
          <w:tcPr>
            <w:tcW w:type="dxa" w:w="129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2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Предшественники</w:t>
            </w:r>
          </w:p>
        </w:tc>
        <w:tc>
          <w:tcPr>
            <w:tcW w:type="dxa" w:w="193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TE, чел·ч</w:t>
            </w:r>
          </w:p>
        </w:tc>
        <w:tc>
          <w:tcPr>
            <w:tcW w:type="dxa" w:w="193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σ, чел·ч</w:t>
            </w:r>
          </w:p>
        </w:tc>
        <w:tc>
          <w:tcPr>
            <w:tcW w:type="dxa" w:w="193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Var, ч²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A01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42,67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A02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A01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58,67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113,78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A03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A01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82,67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13,33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177,78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A04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A02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A05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A04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215,11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A06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A05, A03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41,33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44,44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A07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A05, A03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101,33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16,00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256,00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A08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126,67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20,00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400,00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A09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A08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84,00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215,11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A10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A09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169,33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940,44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A11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A07, A03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215,11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A12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A08, A11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A13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A05, A07, A03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66,67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113,78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A14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A08, A13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109,33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18,67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348,44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A15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A09, A14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82,67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13,33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177,78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A16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A10, A14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85,33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16,00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256,00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A17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A15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A18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A15, A16, A17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A19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A18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58,67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113,78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A20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A14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66,67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113,78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A21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A12, A13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A22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A06, A07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A23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A12, A13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20,00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400,00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A24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87,11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A25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A18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A26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A20, A21, A07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66,67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113,78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A27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A19, A22, A24, A25, A26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58,67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113,78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A28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A10, A23, A26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76,00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215,11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A29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A27, A28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109,33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18,67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348,44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A30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A29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144,00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A31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A25, A26, A24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50,67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64,00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A32</w:t>
            </w:r>
          </w:p>
        </w:tc>
        <w:tc>
          <w:tcPr>
            <w:tcW w:type="dxa" w:w="282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A30, A31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52,00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9,33</w:t>
            </w:r>
          </w:p>
        </w:tc>
        <w:tc>
          <w:tcPr>
            <w:tcW w:type="dxa" w:w="193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87,11</w:t>
            </w:r>
          </w:p>
        </w:tc>
      </w:tr>
    </w:tbl>
    <w:p>
      <w:r>
        <w:t>H(PERT) = 2 428,00 чел·ч; σH = 78,15 чел·ч. При нормальном приближении 95%-й интервал общей трудоёмкости: H ± 1,96σH = [2 274,84; 2 581,16] чел·ч. Коррелированные риски могут расширить этот интервал; это не гарантия и не интервал даты релиза.</w:t>
      </w:r>
    </w:p>
    <w:p>
      <w:pPr>
        <w:pStyle w:val="Heading2"/>
      </w:pPr>
      <w:r>
        <w:t>4.1. Сетевая диаграмма и прямой/обратный проход</w:t>
      </w:r>
    </w:p>
    <w:p>
      <w:r>
        <w:t>Используется граф «работа в узле» (AON), связь finish-to-start без задержки. A01 — начало, A32 — завершение. Длительность узла равна TE в рабочих часах при одном исполнителе. ES = max(EF предшественников), EF = ES + TE; LF = min(LS последователей), LS = LF − TE. Полный резерв R = LS − ES. Для начала ES = 0, для завершающей работы LF равно длине критического пути.</w:t>
      </w:r>
    </w:p>
    <w:p>
      <w:r>
        <w:t>Редактируемый полный граф: «Сетевая диаграмма.drawio». Для чтения с увеличением приложены docs/network.svg и docs/network.pdf. Все стрелки построены из того же списка зависимостей, что и таблица CPM.</w:t>
      </w:r>
    </w:p>
    <w:p>
      <w:r>
        <w:drawing>
          <wp:inline xmlns:a="http://schemas.openxmlformats.org/drawingml/2006/main" xmlns:pic="http://schemas.openxmlformats.org/drawingml/2006/picture">
            <wp:extent cx="5400000" cy="87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Полная сетевая диаграмма. Красным выделен критический путь.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7"/>
        <w:gridCol w:w="1751"/>
        <w:gridCol w:w="1751"/>
        <w:gridCol w:w="1751"/>
        <w:gridCol w:w="1751"/>
        <w:gridCol w:w="1751"/>
      </w:tblGrid>
      <w:tr>
        <w:trPr>
          <w:tblHeader/>
          <w:cantSplit/>
        </w:trPr>
        <w:tc>
          <w:tcPr>
            <w:tcW w:type="dxa" w:w="1167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5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ES</w:t>
            </w:r>
          </w:p>
        </w:tc>
        <w:tc>
          <w:tcPr>
            <w:tcW w:type="dxa" w:w="175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EF</w:t>
            </w:r>
          </w:p>
        </w:tc>
        <w:tc>
          <w:tcPr>
            <w:tcW w:type="dxa" w:w="175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LS</w:t>
            </w:r>
          </w:p>
        </w:tc>
        <w:tc>
          <w:tcPr>
            <w:tcW w:type="dxa" w:w="175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LF</w:t>
            </w:r>
          </w:p>
        </w:tc>
        <w:tc>
          <w:tcPr>
            <w:tcW w:type="dxa" w:w="175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Резерв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A01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0,00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A02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0,00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125,33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161,33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244,00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118,67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A04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152,00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152,00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0,00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152,00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244,00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152,00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244,00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A06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244,00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285,33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837,33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878,67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593,33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244,00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345,33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244,00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345,33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A08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345,33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472,00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345,33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472,00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A09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472,00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556,00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472,00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556,00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556,00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725,33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556,00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725,33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A11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345,33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437,33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641,33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733,33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296,00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A12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472,00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522,67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733,33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784,00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261,33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345,33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412,00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484,00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550,67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138,67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A14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472,00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581,33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550,67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660,00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78,67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A15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581,33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664,00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660,00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742,67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78,67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A16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725,33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810,67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725,33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810,67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664,00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732,00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742,67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810,67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78,67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A18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810,67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878,67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810,67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878,67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A19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878,67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937,33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888,00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946,67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9,33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581,33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648,00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796,00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862,67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214,67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A21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522,67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573,33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812,00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862,67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289,33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A22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345,33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413,33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878,67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946,67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533,33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522,67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633,33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784,00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894,67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261,33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A24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633,33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685,33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894,67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946,67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261,33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A25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878,67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946,67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878,67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946,67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A26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648,00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714,67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862,67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929,33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214,67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946,67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1 005,33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946,67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1 005,33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A28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725,33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801,33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929,33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1 005,33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204,00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A29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1 005,33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1 114,67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1 005,33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1 114,67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A30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1 114,67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1 182,67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1 114,67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1 182,67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A31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946,67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997,33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1 132,00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1 182,67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185,33</w:t>
            </w:r>
          </w:p>
        </w:tc>
      </w:tr>
      <w:tr>
        <w:trPr>
          <w:cantSplit/>
        </w:trPr>
        <w:tc>
          <w:tcPr>
            <w:tcW w:type="dxa" w:w="116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A32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1 182,67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1 234,67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1 182,67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1 234,67</w:t>
            </w:r>
          </w:p>
        </w:tc>
        <w:tc>
          <w:tcPr>
            <w:tcW w:type="dxa" w:w="175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0</w:t>
            </w:r>
          </w:p>
        </w:tc>
      </w:tr>
    </w:tbl>
    <w:p>
      <w:r>
        <w:t>Критический путь: A01 → A02 → A04 → A05 → A07 → A08 → A09 → A10 → A16 → A18 → A25 → A27 → A29 → A30 → A32.</w:t>
      </w:r>
    </w:p>
    <w:p>
      <w:r>
        <w:t>Его длина 1 234,67 рабочих часов = 154,33 рабочих дней = 30,87 рабочих недель. Это нижняя граница срока при достаточных ресурсах. Суммарная трудоёмкость остаётся 2 428,00 чел·ч.</w:t>
      </w:r>
    </w:p>
    <w:p>
      <w:r>
        <w:t>Для фиксированного критического пути σCP = 59,21 ч; интервал TE(CP) ± 1,96σCP = [1 118,62; 1 350,72] ч. При изменении длительностей критическим может стать другой путь, поэтому этот интервал не является 95%-м обещанием срока всего проекта.</w:t>
      </w:r>
    </w:p>
    <w:p>
      <w:pPr>
        <w:pStyle w:val="Heading2"/>
      </w:pPr>
      <w:r>
        <w:t>4.2. Ресурсное расписание и состав команды</w:t>
      </w:r>
    </w:p>
    <w:p>
      <w:r>
        <w:t>Построены расписания для 1–8 взаимозаменяемых исполнителей. В момент освобождения ресурса выбирается доступная работа с самым длинным оставшимся путём до конца; при равенстве — меньший ID. Работа не прерывается и не ускоряется назначением нескольких людей. Нижняя граница срока для n человек: max(CP, H/n).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/>
          <w:cantSplit/>
        </w:trPr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Человек</w:t>
            </w:r>
          </w:p>
        </w:tc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Нижняя граница, ч</w:t>
            </w:r>
          </w:p>
        </w:tc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Полученный срок, ч</w:t>
            </w:r>
          </w:p>
        </w:tc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Недели</w:t>
            </w:r>
          </w:p>
        </w:tc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Загрузка, %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2 428,00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2 428,00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60,70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100,00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1 425,33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35,63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85,17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30,87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65,55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30,87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49,16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30,87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39,33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30,87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32,78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30,87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28,09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30,87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24,58</w:t>
            </w:r>
          </w:p>
        </w:tc>
      </w:tr>
    </w:tbl>
    <w:p>
      <w:r>
        <w:t>Критерий выбора: наименьшая из рассмотренных команд, чьё построенное расписание не более чем на 10% длиннее CPM. Рекомендуются 3 разработчика с совмещением ролей; срок 30,87 рабочих недель, загрузка 65,55%. Это рациональный вариант по выбранному критерию, а не доказанный глобальный оптимум задачи ресурсного планирования.</w:t>
      </w:r>
    </w:p>
    <w:p>
      <w:r>
        <w:t>Предлагаемое распределение специализаций: два разработчика frontend/backend и 1 участника с компетенциями full-stack, автоматизации тестирования и DevOps. Дизайн, анализ и документация распределяются по этапам. Предположение о взаимозаменяемости упрощает реальную ситуацию; дефицит нужной компетенции увеличит срок.</w:t>
      </w:r>
    </w:p>
    <w:p>
      <w:r>
        <w:t>Для рабочего плана принимается 80% доступности участников на проект. При равномерном снижении доступности срок составляет 38,58 рабочих недель. Дополнительный управленческий резерв 15% даёт 44,37 недель. Эти проценты — допущения планирования, а не статистический результат PERT; снижение доступности увеличивает срок делением на 0,8.</w:t>
      </w:r>
    </w:p>
    <w:p>
      <w:r>
        <w:drawing>
          <wp:inline xmlns:a="http://schemas.openxmlformats.org/drawingml/2006/main" xmlns:pic="http://schemas.openxmlformats.org/drawingml/2006/picture">
            <wp:extent cx="6120000" cy="2076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— Выполнимое расписание по исполнителям.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4"/>
        <w:gridCol w:w="2706"/>
        <w:gridCol w:w="2706"/>
        <w:gridCol w:w="2706"/>
      </w:tblGrid>
      <w:tr>
        <w:trPr>
          <w:tblHeader/>
          <w:cantSplit/>
        </w:trPr>
        <w:tc>
          <w:tcPr>
            <w:tcW w:type="dxa" w:w="1804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70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Исполнитель</w:t>
            </w:r>
          </w:p>
        </w:tc>
        <w:tc>
          <w:tcPr>
            <w:tcW w:type="dxa" w:w="270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Начало, ч</w:t>
            </w:r>
          </w:p>
        </w:tc>
        <w:tc>
          <w:tcPr>
            <w:tcW w:type="dxa" w:w="270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Окончание, ч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0,00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42,67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42,67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101,33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42,67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125,33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A04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101,33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152,00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A05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152,00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244,00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A06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244,00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285,33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244,00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345,33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A08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345,33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472,00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A09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472,00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556,00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556,00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725,33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345,33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437,33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480,00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530,67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345,33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412,00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A14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472,00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581,33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A15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581,33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664,00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A16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725,33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810,67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664,00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732,00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A18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810,67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878,67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A19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878,67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937,33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641,33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708,00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708,00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758,67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412,00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480,00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530,67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641,33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A24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732,00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784,00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A25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878,67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946,67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A26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758,67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825,33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946,67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1 005,33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A28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825,33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901,33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A29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1 005,33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1 114,67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A30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1 114,67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1 182,67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946,67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997,33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A32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1 182,67</w:t>
            </w:r>
          </w:p>
        </w:tc>
        <w:tc>
          <w:tcPr>
            <w:tcW w:type="dxa" w:w="270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1 234,67</w:t>
            </w:r>
          </w:p>
        </w:tc>
      </w:tr>
    </w:tbl>
    <w:p>
      <w:r>
        <w:br w:type="page"/>
      </w:r>
    </w:p>
    <w:p>
      <w:pPr>
        <w:pStyle w:val="Heading1"/>
      </w:pPr>
      <w:r>
        <w:t>5. Оценка методом функциональных точек</w:t>
      </w:r>
    </w:p>
    <w:p>
      <w:r>
        <w:t>Выполняется предварительный подсчёт размера нового приложения. Граница охватывает пользовательские функции FR01–FR24; внешние API остаются за ней. ILF — поддерживаемая приложением логическая группа данных, EIF — читаемая группа, поддерживаемая другим приложением. EI — ввод с изменением данных/управления, EO — вывод с вычислением или производным результатом, EQ — запрос без такого вычисления. [M2, раздел 2]</w:t>
      </w:r>
    </w:p>
    <w:p>
      <w:r>
        <w:t>API оплаты, grader, email и хранилище сами по себе не являются EIF. В принятых границах приложение не читает отдельные внешние справочники; ответ сервиса обрабатывается транзакцией, а нужное состояние сохраняется в ILF. Поэтому EIF = 0. Прогресс вычисляется из попыток, а не считается отдельным ILF; наличие отдельной физической таблицы не добавляет функциональные точки.</w:t>
      </w:r>
    </w:p>
    <w:p>
      <w:r>
        <w:t>RET — число логических подгрупп записей, DET — пользовательски различимых полей, FTR — число логических групп, читаемых или изменяемых процессом. Значения предполагаются для проектируемого аналога. Состав групп указан в Excel; это предварительная FPA-оценка, требующая уточнения по спецификации полей и потоков.</w:t>
      </w:r>
    </w:p>
    <w:p>
      <w:pPr>
        <w:pStyle w:val="Heading2"/>
      </w:pPr>
      <w:r>
        <w:t>5.1. Правила сложности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7"/>
        <w:gridCol w:w="2086"/>
        <w:gridCol w:w="2577"/>
        <w:gridCol w:w="3191"/>
      </w:tblGrid>
      <w:tr>
        <w:trPr>
          <w:tblHeader/>
          <w:cantSplit/>
        </w:trPr>
        <w:tc>
          <w:tcPr>
            <w:tcW w:type="dxa" w:w="2067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086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Строки матрицы</w:t>
            </w:r>
          </w:p>
        </w:tc>
        <w:tc>
          <w:tcPr>
            <w:tcW w:type="dxa" w:w="2577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Столбцы матрицы</w:t>
            </w:r>
          </w:p>
        </w:tc>
        <w:tc>
          <w:tcPr>
            <w:tcW w:type="dxa" w:w="3191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Низкая / средняя / высокая</w:t>
            </w:r>
          </w:p>
        </w:tc>
      </w:tr>
      <w:tr>
        <w:trPr>
          <w:cantSplit/>
        </w:trPr>
        <w:tc>
          <w:tcPr>
            <w:tcW w:type="dxa" w:w="206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ILF / EIF</w:t>
            </w:r>
          </w:p>
        </w:tc>
        <w:tc>
          <w:tcPr>
            <w:tcW w:type="dxa" w:w="20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RET: 1; 2–5; ≥6</w:t>
            </w:r>
          </w:p>
        </w:tc>
        <w:tc>
          <w:tcPr>
            <w:tcW w:type="dxa" w:w="257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DET: 1–19; 20–50; ≥51</w:t>
            </w:r>
          </w:p>
        </w:tc>
        <w:tc>
          <w:tcPr>
            <w:tcW w:type="dxa" w:w="3191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Н Н С / Н С В / С В В</w:t>
            </w:r>
          </w:p>
        </w:tc>
      </w:tr>
      <w:tr>
        <w:trPr>
          <w:cantSplit/>
        </w:trPr>
        <w:tc>
          <w:tcPr>
            <w:tcW w:type="dxa" w:w="206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EI</w:t>
            </w:r>
          </w:p>
        </w:tc>
        <w:tc>
          <w:tcPr>
            <w:tcW w:type="dxa" w:w="20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FTR: 0–1; 2; ≥3</w:t>
            </w:r>
          </w:p>
        </w:tc>
        <w:tc>
          <w:tcPr>
            <w:tcW w:type="dxa" w:w="257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DET: 1–4; 5–15; ≥16</w:t>
            </w:r>
          </w:p>
        </w:tc>
        <w:tc>
          <w:tcPr>
            <w:tcW w:type="dxa" w:w="3191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Н Н С / Н С В / С В В</w:t>
            </w:r>
          </w:p>
        </w:tc>
      </w:tr>
      <w:tr>
        <w:trPr>
          <w:cantSplit/>
        </w:trPr>
        <w:tc>
          <w:tcPr>
            <w:tcW w:type="dxa" w:w="20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EO / EQ</w:t>
            </w:r>
          </w:p>
        </w:tc>
        <w:tc>
          <w:tcPr>
            <w:tcW w:type="dxa" w:w="208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FTR: 0–1; 2–3; ≥4</w:t>
            </w:r>
          </w:p>
        </w:tc>
        <w:tc>
          <w:tcPr>
            <w:tcW w:type="dxa" w:w="257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DET: 1–5; 6–19; ≥20</w:t>
            </w:r>
          </w:p>
        </w:tc>
        <w:tc>
          <w:tcPr>
            <w:tcW w:type="dxa" w:w="3191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Н Н С / Н С В / С В В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2"/>
        <w:gridCol w:w="2440"/>
        <w:gridCol w:w="2440"/>
        <w:gridCol w:w="2440"/>
      </w:tblGrid>
      <w:tr>
        <w:trPr>
          <w:tblHeader/>
          <w:cantSplit/>
        </w:trPr>
        <w:tc>
          <w:tcPr>
            <w:tcW w:type="dxa" w:w="2602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440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Низкая</w:t>
            </w:r>
          </w:p>
        </w:tc>
        <w:tc>
          <w:tcPr>
            <w:tcW w:type="dxa" w:w="2440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Средняя</w:t>
            </w:r>
          </w:p>
        </w:tc>
        <w:tc>
          <w:tcPr>
            <w:tcW w:type="dxa" w:w="2440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Высокая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ILF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EIF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EI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EO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244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60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EQ</w:t>
            </w:r>
          </w:p>
        </w:tc>
        <w:tc>
          <w:tcPr>
            <w:tcW w:type="dxa" w:w="2440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440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2440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</w:t>
            </w:r>
          </w:p>
        </w:tc>
      </w:tr>
    </w:tbl>
    <w:p>
      <w:pPr>
        <w:pStyle w:val="Heading2"/>
      </w:pPr>
      <w:r>
        <w:t>5.2. Логические данные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91"/>
        <w:gridCol w:w="2176"/>
        <w:gridCol w:w="1636"/>
        <w:gridCol w:w="1636"/>
        <w:gridCol w:w="1745"/>
        <w:gridCol w:w="1636"/>
      </w:tblGrid>
      <w:tr>
        <w:trPr>
          <w:tblHeader/>
          <w:cantSplit/>
        </w:trPr>
        <w:tc>
          <w:tcPr>
            <w:tcW w:type="dxa" w:w="1091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7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Группа ILF</w:t>
            </w:r>
          </w:p>
        </w:tc>
        <w:tc>
          <w:tcPr>
            <w:tcW w:type="dxa" w:w="163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RET</w:t>
            </w:r>
          </w:p>
        </w:tc>
        <w:tc>
          <w:tcPr>
            <w:tcW w:type="dxa" w:w="163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DET</w:t>
            </w:r>
          </w:p>
        </w:tc>
        <w:tc>
          <w:tcPr>
            <w:tcW w:type="dxa" w:w="1745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Сложность</w:t>
            </w:r>
          </w:p>
        </w:tc>
        <w:tc>
          <w:tcPr>
            <w:tcW w:type="dxa" w:w="163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D01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Пользователи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D02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Курсы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Средняя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D03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Учебные материалы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Средняя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D04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Задания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Средняя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D05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Записи на курсы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D06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Попытки и результаты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D07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Обсуждения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D08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Отзывы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D09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Заказы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D10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Промокоды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D11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Сертификаты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D12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Новости и уведомления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D13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Категории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9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D14</w:t>
            </w:r>
          </w:p>
        </w:tc>
        <w:tc>
          <w:tcPr>
            <w:tcW w:type="dxa" w:w="217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Журнал модерации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74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Низкая</w:t>
            </w:r>
          </w:p>
        </w:tc>
        <w:tc>
          <w:tcPr>
            <w:tcW w:type="dxa" w:w="163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</w:tbl>
    <w:p>
      <w:r>
        <w:t>Сумма ILF = 107 FP. EIF = 0 FP. Например, D02 имеет 3 RET и 32 DET: средняя сложность, 10 FP; D01 с 2 RET и 18 DET имеет низкую сложность, 7 FP.</w:t>
      </w:r>
    </w:p>
    <w:p>
      <w:pPr>
        <w:pStyle w:val="Heading2"/>
      </w:pPr>
      <w:r>
        <w:t>5.3. Транзакции</w:t>
      </w:r>
    </w:p>
    <w:p>
      <w:r>
        <w:t>Создание и изменение сущности считаются отдельно там, где различаются элементарный процесс и проверки. Поиск вместе с фильтрами образует один процесс. Табличный отчёт и его CSV-представление объединены при одинаковой обработке. Вариант с разной обработкой потребовал бы отдельного подсчёта. Полный список FTR-групп и связь с FR находятся на листе «FP транзакции».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26"/>
        <w:gridCol w:w="3344"/>
        <w:gridCol w:w="1482"/>
        <w:gridCol w:w="1390"/>
        <w:gridCol w:w="1390"/>
        <w:gridCol w:w="1390"/>
      </w:tblGrid>
      <w:tr>
        <w:trPr>
          <w:tblHeader/>
          <w:cantSplit/>
        </w:trPr>
        <w:tc>
          <w:tcPr>
            <w:tcW w:type="dxa" w:w="92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344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Элементарный процесс</w:t>
            </w:r>
          </w:p>
        </w:tc>
        <w:tc>
          <w:tcPr>
            <w:tcW w:type="dxa" w:w="1482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90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FTR</w:t>
            </w:r>
          </w:p>
        </w:tc>
        <w:tc>
          <w:tcPr>
            <w:tcW w:type="dxa" w:w="1390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DET</w:t>
            </w:r>
          </w:p>
        </w:tc>
        <w:tc>
          <w:tcPr>
            <w:tcW w:type="dxa" w:w="1390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F01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Регистрация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F02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Подтверждение email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F03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Вход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F04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Выход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F05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Запрос сброса пароля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F06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Смена пароля по токену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F07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Изменение профиля и настроек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F08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Чтение профиля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F09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Поиск и фильтрация каталога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F10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Просмотр карточки курса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F11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Запись на бесплатный курс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F12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Список моих курсов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F13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Просмотр шага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F14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Сохранение позиции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F15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Отправка тестового ответа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F16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Отправка кода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F17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Получение результата grader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F18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Отображение результата попытки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F19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Расчёт и показ прогресса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EO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F20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Формирование сертификата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EO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F21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Проверка сертификата по ссылке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F22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Публикация комментария или ответа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F23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Удаление собственного комментария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F24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Чтение обсуждения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F25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Создание отзыва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F26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Изменение отзыва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F27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Показ отзывов и среднего рейтинга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EO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F28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Публикация новости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F29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Чтение уведомлений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F30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Отметка уведомления прочитанным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F31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Создание черновика курса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F32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Редактирование описания курса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F33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Публикация курса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F34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Создание элемента структуры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F35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Редактирование материала и порядка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F36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Удаление элемента структуры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F37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Создание тестового задания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F38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Редактирование тестового задания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F39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Создание задания на код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F40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Редактирование задания на код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F41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Пробная проверка задания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F42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Отправка свободного ответа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F43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Оценка ответа преподавателем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F44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Очередь ответов на проверку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F45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Назначение соавтора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F46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Снятие роли соавтора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F47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Выдача приватного доступа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F48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Отзыв приватного доступа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F49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Расчёт отчёта и экспорт CSV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EO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F50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Создание заказа и применение промокода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F51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Обработка статуса платежа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F52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Просмотр статуса заказа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F53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Изменение цены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F54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Создание промокода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F55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Скрытие контента модератором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F56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Ограничение общения пользователя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F57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Просмотр журнала модерации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EQ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F58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Создание категории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F59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Изменение категории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F60</w:t>
            </w:r>
          </w:p>
        </w:tc>
        <w:tc>
          <w:tcPr>
            <w:tcW w:type="dxa" w:w="3344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Архивация категории</w:t>
            </w:r>
          </w:p>
        </w:tc>
        <w:tc>
          <w:tcPr>
            <w:tcW w:type="dxa" w:w="148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EI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9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</w:t>
            </w:r>
          </w:p>
        </w:tc>
      </w:tr>
    </w:tbl>
    <w:p>
      <w:r>
        <w:t>Транзакции = 254 FP. Невыровненный размер UFP = 107 + 0 + 254 = 361 FP.</w:t>
      </w:r>
    </w:p>
    <w:p>
      <w:pPr>
        <w:pStyle w:val="Heading2"/>
      </w:pPr>
      <w:r>
        <w:t>5.4. Выравнивание</w:t>
      </w:r>
    </w:p>
    <w:p>
      <w:r>
        <w:t>Для сопоставимости с форматом лабораторной дополнительно рассчитывается традиционный VAF по 14 характеристикам (DI от 0 до 5). Это отдельная учебная поправка; в COCOMO II используется UFP, чтобы не учитывать общие факторы повторно.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173"/>
        <w:gridCol w:w="3749"/>
      </w:tblGrid>
      <w:tr>
        <w:trPr>
          <w:tblHeader/>
          <w:cantSplit/>
        </w:trPr>
        <w:tc>
          <w:tcPr>
            <w:tcW w:type="dxa" w:w="6173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3749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DI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Обмен данными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Распределённая обработка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Ограничения конфигурации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Частота транзакций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Интерактивный ввод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Эффективность пользователя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Интерактивное обновление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Сложность обработки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Повторное использование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Простота установки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Удобство эксплуатации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Несколько площадок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17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Удобство изменений</w:t>
            </w:r>
          </w:p>
        </w:tc>
        <w:tc>
          <w:tcPr>
            <w:tcW w:type="dxa" w:w="374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</w:tbl>
    <w:p>
      <w:r>
        <w:t>ΣDI = 42; VAF = 0,65 + 0,01 × ΣDI = 1,07; AFP = UFP × VAF = 386,27 FP.</w:t>
      </w:r>
    </w:p>
    <w:p>
      <w:r>
        <w:br w:type="page"/>
      </w:r>
    </w:p>
    <w:p>
      <w:pPr>
        <w:pStyle w:val="Heading1"/>
      </w:pPr>
      <w:r>
        <w:t>6. Трудоёмкость по COCOMO II</w:t>
      </w:r>
    </w:p>
    <w:p>
      <w:r>
        <w:t>Выбрана COCOMO II.2000 Early Design: архитектура только предполагается и локальной статистики нет. Используется семь агрегированных множителей и пять факторов масштаба. Коэффициенты и формулы взяты из руководства USC [M2, таблицы 62–63]. Уровни факторов — экспертные допущения для оцениваемой команды.</w:t>
      </w:r>
    </w:p>
    <w:p>
      <w:pPr>
        <w:pStyle w:val="Heading2"/>
      </w:pPr>
      <w:r>
        <w:t>6.1. Размер и факторы</w:t>
      </w:r>
    </w:p>
    <w:p>
      <w:r>
        <w:t>Предполагаемый прикладной стек — JavaScript на сервере и в браузере; это не утверждение о стеке Stepik. QSM [M1] даёт среднее 47 логических SLOC/FP. Код готовых библиотек и внешних сервисов не включается. SLOC = 361 × 47 = 16967; KSLOC = 16,97. Используется UFP = 361; AFP не подставляется.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35"/>
        <w:gridCol w:w="1345"/>
        <w:gridCol w:w="1435"/>
        <w:gridCol w:w="5707"/>
      </w:tblGrid>
      <w:tr>
        <w:trPr>
          <w:tblHeader/>
          <w:cantSplit/>
        </w:trPr>
        <w:tc>
          <w:tcPr>
            <w:tcW w:type="dxa" w:w="1435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Фактор</w:t>
            </w:r>
          </w:p>
        </w:tc>
        <w:tc>
          <w:tcPr>
            <w:tcW w:type="dxa" w:w="1345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1435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5707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43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PREC</w:t>
            </w:r>
          </w:p>
        </w:tc>
        <w:tc>
          <w:tcPr>
            <w:tcW w:type="dxa" w:w="134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3,72</w:t>
            </w:r>
          </w:p>
        </w:tc>
        <w:tc>
          <w:tcPr>
            <w:tcW w:type="dxa" w:w="143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7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Типовая LMS, но нет опыта именно этого продукта.</w:t>
            </w:r>
          </w:p>
        </w:tc>
      </w:tr>
      <w:tr>
        <w:trPr>
          <w:cantSplit/>
        </w:trPr>
        <w:tc>
          <w:tcPr>
            <w:tcW w:type="dxa" w:w="143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FLEX</w:t>
            </w:r>
          </w:p>
        </w:tc>
        <w:tc>
          <w:tcPr>
            <w:tcW w:type="dxa" w:w="134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3,04</w:t>
            </w:r>
          </w:p>
        </w:tc>
        <w:tc>
          <w:tcPr>
            <w:tcW w:type="dxa" w:w="143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7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Функциональные границы согласованы, интерфейсы допускают изменения.</w:t>
            </w:r>
          </w:p>
        </w:tc>
      </w:tr>
      <w:tr>
        <w:trPr>
          <w:cantSplit/>
        </w:trPr>
        <w:tc>
          <w:tcPr>
            <w:tcW w:type="dxa" w:w="143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RESL</w:t>
            </w:r>
          </w:p>
        </w:tc>
        <w:tc>
          <w:tcPr>
            <w:tcW w:type="dxa" w:w="134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4,24</w:t>
            </w:r>
          </w:p>
        </w:tc>
        <w:tc>
          <w:tcPr>
            <w:tcW w:type="dxa" w:w="143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7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Архитектура предварительная, интеграционные риски остаются.</w:t>
            </w:r>
          </w:p>
        </w:tc>
      </w:tr>
      <w:tr>
        <w:trPr>
          <w:cantSplit/>
        </w:trPr>
        <w:tc>
          <w:tcPr>
            <w:tcW w:type="dxa" w:w="143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TEAM</w:t>
            </w:r>
          </w:p>
        </w:tc>
        <w:tc>
          <w:tcPr>
            <w:tcW w:type="dxa" w:w="134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3,29</w:t>
            </w:r>
          </w:p>
        </w:tc>
        <w:tc>
          <w:tcPr>
            <w:tcW w:type="dxa" w:w="143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7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Предполагается обычная сработанность проектной команды.</w:t>
            </w:r>
          </w:p>
        </w:tc>
      </w:tr>
      <w:tr>
        <w:trPr>
          <w:cantSplit/>
        </w:trPr>
        <w:tc>
          <w:tcPr>
            <w:tcW w:type="dxa" w:w="143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PMAT</w:t>
            </w:r>
          </w:p>
        </w:tc>
        <w:tc>
          <w:tcPr>
            <w:tcW w:type="dxa" w:w="13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4,68</w:t>
            </w:r>
          </w:p>
        </w:tc>
        <w:tc>
          <w:tcPr>
            <w:tcW w:type="dxa" w:w="143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70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Учебное допущение об обычной зрелости процесса.</w:t>
            </w:r>
          </w:p>
        </w:tc>
      </w:tr>
    </w:tbl>
    <w:p>
      <w:r>
        <w:t>ΣSF = 18,97; E = 0,91 + 0,01 × ΣSF = 1.0997.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99"/>
        <w:gridCol w:w="1405"/>
        <w:gridCol w:w="1499"/>
        <w:gridCol w:w="5518"/>
      </w:tblGrid>
      <w:tr>
        <w:trPr>
          <w:tblHeader/>
          <w:cantSplit/>
        </w:trPr>
        <w:tc>
          <w:tcPr>
            <w:tcW w:type="dxa" w:w="1499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Множитель</w:t>
            </w:r>
          </w:p>
        </w:tc>
        <w:tc>
          <w:tcPr>
            <w:tcW w:type="dxa" w:w="1405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1499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5518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PERS</w:t>
            </w:r>
          </w:p>
        </w:tc>
        <w:tc>
          <w:tcPr>
            <w:tcW w:type="dxa" w:w="140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1,00</w:t>
            </w:r>
          </w:p>
        </w:tc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51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Нет подтверждённых данных о производительности команды.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RCPX</w:t>
            </w:r>
          </w:p>
        </w:tc>
        <w:tc>
          <w:tcPr>
            <w:tcW w:type="dxa" w:w="140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1,33</w:t>
            </w:r>
          </w:p>
        </w:tc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High</w:t>
            </w:r>
          </w:p>
        </w:tc>
        <w:tc>
          <w:tcPr>
            <w:tcW w:type="dxa" w:w="551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Платежи, оценивание и асинхронная проверка повышают сложность.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PDIF</w:t>
            </w:r>
          </w:p>
        </w:tc>
        <w:tc>
          <w:tcPr>
            <w:tcW w:type="dxa" w:w="140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1,00</w:t>
            </w:r>
          </w:p>
        </w:tc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51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Нет жёстких аппаратных ограничений.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PREX</w:t>
            </w:r>
          </w:p>
        </w:tc>
        <w:tc>
          <w:tcPr>
            <w:tcW w:type="dxa" w:w="140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1,00</w:t>
            </w:r>
          </w:p>
        </w:tc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51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Средний опыт стека и предметной области — допущение.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FCIL</w:t>
            </w:r>
          </w:p>
        </w:tc>
        <w:tc>
          <w:tcPr>
            <w:tcW w:type="dxa" w:w="140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0,87</w:t>
            </w:r>
          </w:p>
        </w:tc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High</w:t>
            </w:r>
          </w:p>
        </w:tc>
        <w:tc>
          <w:tcPr>
            <w:tcW w:type="dxa" w:w="551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Готовые CI, средства тестирования и совместной работы.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RUSE</w:t>
            </w:r>
          </w:p>
        </w:tc>
        <w:tc>
          <w:tcPr>
            <w:tcW w:type="dxa" w:w="1405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1,00</w:t>
            </w:r>
          </w:p>
        </w:tc>
        <w:tc>
          <w:tcPr>
            <w:tcW w:type="dxa" w:w="149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51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Повторное использование в рамках проекта.</w:t>
            </w:r>
          </w:p>
        </w:tc>
      </w:tr>
      <w:tr>
        <w:trPr>
          <w:cantSplit/>
        </w:trPr>
        <w:tc>
          <w:tcPr>
            <w:tcW w:type="dxa" w:w="149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SCED</w:t>
            </w:r>
          </w:p>
        </w:tc>
        <w:tc>
          <w:tcPr>
            <w:tcW w:type="dxa" w:w="140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1,00</w:t>
            </w:r>
          </w:p>
        </w:tc>
        <w:tc>
          <w:tcPr>
            <w:tcW w:type="dxa" w:w="149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Nominal</w:t>
            </w:r>
          </w:p>
        </w:tc>
        <w:tc>
          <w:tcPr>
            <w:tcW w:type="dxa" w:w="551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Срок искусственно не сжимается.</w:t>
            </w:r>
          </w:p>
        </w:tc>
      </w:tr>
    </w:tbl>
    <w:p>
      <w:r>
        <w:t>EAF = произведение EM = 1.1571. PM = 2,94 × KSLOC^E × EAF = 76,54 чел·мес. При 152 чел·ч/месяц трудоёмкость составляет 11 634,79 чел·ч.</w:t>
      </w:r>
    </w:p>
    <w:p>
      <w:pPr>
        <w:pStyle w:val="Heading2"/>
      </w:pPr>
      <w:r>
        <w:t>6.2. Срок и чувствительность</w:t>
      </w:r>
    </w:p>
    <w:p>
      <w:r>
        <w:t>При номинальном SCED: F = 0,28 + 0,2(E − 0,91) = 0.3179; TDEV = 3,67 × PM^F = 14,58 календарных месяцев. Средняя численность PM/TDEV = 5,25 человека. Это модельная средняя занятость, а не постоянный штат с первого дня.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/>
          <w:cantSplit/>
        </w:trPr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SLOC/FP</w:t>
            </w:r>
          </w:p>
        </w:tc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KSLOC</w:t>
            </w:r>
          </w:p>
        </w:tc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PM</w:t>
            </w:r>
          </w:p>
        </w:tc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Чел·ч</w:t>
            </w:r>
          </w:p>
        </w:tc>
        <w:tc>
          <w:tcPr>
            <w:tcW w:type="dxa" w:w="1984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TDEV, мес.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11,19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48,44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7 362,12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12,60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16,97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76,54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11 634,79</w:t>
            </w:r>
          </w:p>
        </w:tc>
        <w:tc>
          <w:tcPr>
            <w:tcW w:type="dxa" w:w="1984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14,58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63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22,74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105,64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16 057,85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16,15</w:t>
            </w:r>
          </w:p>
        </w:tc>
      </w:tr>
    </w:tbl>
    <w:p>
      <w:r>
        <w:t>Значения 31 и 63 — границы наблюдавшегося диапазона JavaScript в QSM, а не доверительный интервал нашего проекта. Разброс показывает чувствительность к переводу функциональных точек в строки кода. Размер самого FP-подсчёта также неопределён.</w:t>
      </w:r>
    </w:p>
    <w:p>
      <w:r>
        <w:t>COCOMO охватывает инженерные работы и тестирование в определённых моделью фазах; начальная проработка концепции и длительная эксплуатация требуют отдельного согласования границ. В этой работе модель служит независимой проверкой порядка величины, без произвольной добавки «за тестирование». WBS включает ранний анализ и выпуск, поэтому строгое равенство охвата фаз и точности методов не предполагается.</w:t>
      </w:r>
    </w:p>
    <w:p>
      <w:r>
        <w:br w:type="page"/>
      </w:r>
    </w:p>
    <w:p>
      <w:pPr>
        <w:pStyle w:val="Heading1"/>
      </w:pPr>
      <w:r>
        <w:t>7. Метод Use Case Points</w:t>
      </w:r>
    </w:p>
    <w:p>
      <w:r>
        <w:t>Акторы классифицируются по интерфейсу, а прецеденты — по числу транзакций взаимодействия: 1–3 → 5, 4–7 → 10, 8 и более → 15. Транзакция — содержательный обмен или завершённая реакция системы, а не отдельный клик. Группировка сценариев является учебным предположением; изменение детализации влияет на UUCW. [M3]</w:t>
      </w:r>
    </w:p>
    <w:p>
      <w:pPr>
        <w:pStyle w:val="Heading2"/>
      </w:pPr>
      <w:r>
        <w:t>7.1. Акторы и прецеденты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7"/>
        <w:gridCol w:w="1788"/>
        <w:gridCol w:w="6227"/>
      </w:tblGrid>
      <w:tr>
        <w:trPr>
          <w:tblHeader/>
          <w:cantSplit/>
        </w:trPr>
        <w:tc>
          <w:tcPr>
            <w:tcW w:type="dxa" w:w="1907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Актор</w:t>
            </w:r>
          </w:p>
        </w:tc>
        <w:tc>
          <w:tcPr>
            <w:tcW w:type="dxa" w:w="1788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Вес</w:t>
            </w:r>
          </w:p>
        </w:tc>
        <w:tc>
          <w:tcPr>
            <w:tcW w:type="dxa" w:w="6227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9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Гость</w:t>
            </w:r>
          </w:p>
        </w:tc>
        <w:tc>
          <w:tcPr>
            <w:tcW w:type="dxa" w:w="17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2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Человек, графический интерфейс</w:t>
            </w:r>
          </w:p>
        </w:tc>
      </w:tr>
      <w:tr>
        <w:trPr>
          <w:cantSplit/>
        </w:trPr>
        <w:tc>
          <w:tcPr>
            <w:tcW w:type="dxa" w:w="19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Учащийся</w:t>
            </w:r>
          </w:p>
        </w:tc>
        <w:tc>
          <w:tcPr>
            <w:tcW w:type="dxa" w:w="17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2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Человек, графический интерфейс</w:t>
            </w:r>
          </w:p>
        </w:tc>
      </w:tr>
      <w:tr>
        <w:trPr>
          <w:cantSplit/>
        </w:trPr>
        <w:tc>
          <w:tcPr>
            <w:tcW w:type="dxa" w:w="19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Преподаватель</w:t>
            </w:r>
          </w:p>
        </w:tc>
        <w:tc>
          <w:tcPr>
            <w:tcW w:type="dxa" w:w="17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2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Человек, графический интерфейс</w:t>
            </w:r>
          </w:p>
        </w:tc>
      </w:tr>
      <w:tr>
        <w:trPr>
          <w:cantSplit/>
        </w:trPr>
        <w:tc>
          <w:tcPr>
            <w:tcW w:type="dxa" w:w="19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Модератор</w:t>
            </w:r>
          </w:p>
        </w:tc>
        <w:tc>
          <w:tcPr>
            <w:tcW w:type="dxa" w:w="17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22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Человек, графический интерфейс; включает администратора</w:t>
            </w:r>
          </w:p>
        </w:tc>
      </w:tr>
      <w:tr>
        <w:trPr>
          <w:cantSplit/>
        </w:trPr>
        <w:tc>
          <w:tcPr>
            <w:tcW w:type="dxa" w:w="19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Платёжный API</w:t>
            </w:r>
          </w:p>
        </w:tc>
        <w:tc>
          <w:tcPr>
            <w:tcW w:type="dxa" w:w="17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622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Внешняя система, программный API</w:t>
            </w:r>
          </w:p>
        </w:tc>
      </w:tr>
      <w:tr>
        <w:trPr>
          <w:cantSplit/>
        </w:trPr>
        <w:tc>
          <w:tcPr>
            <w:tcW w:type="dxa" w:w="19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Grader API</w:t>
            </w:r>
          </w:p>
        </w:tc>
        <w:tc>
          <w:tcPr>
            <w:tcW w:type="dxa" w:w="17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622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Внешняя система, программный API</w:t>
            </w:r>
          </w:p>
        </w:tc>
      </w:tr>
      <w:tr>
        <w:trPr>
          <w:cantSplit/>
        </w:trPr>
        <w:tc>
          <w:tcPr>
            <w:tcW w:type="dxa" w:w="190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Email API</w:t>
            </w:r>
          </w:p>
        </w:tc>
        <w:tc>
          <w:tcPr>
            <w:tcW w:type="dxa" w:w="17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6227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Внешняя система, программный API</w:t>
            </w:r>
          </w:p>
        </w:tc>
      </w:tr>
      <w:tr>
        <w:trPr>
          <w:cantSplit/>
        </w:trPr>
        <w:tc>
          <w:tcPr>
            <w:tcW w:type="dxa" w:w="190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Media API</w:t>
            </w:r>
          </w:p>
        </w:tc>
        <w:tc>
          <w:tcPr>
            <w:tcW w:type="dxa" w:w="17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622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Внешнее объектное хранилище, программный API</w:t>
            </w:r>
          </w:p>
        </w:tc>
      </w:tr>
    </w:tbl>
    <w:p>
      <w:r>
        <w:t>UAW = 16. Роли человека имеют вес 3, внешние программные API — 1. Одна учётная запись может выступать в разных ролях; вес относится к типам взаимодействия, а не количеству пользователей.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8"/>
        <w:gridCol w:w="3826"/>
        <w:gridCol w:w="1742"/>
        <w:gridCol w:w="1633"/>
        <w:gridCol w:w="1633"/>
      </w:tblGrid>
      <w:tr>
        <w:trPr>
          <w:tblHeader/>
          <w:cantSplit/>
        </w:trPr>
        <w:tc>
          <w:tcPr>
            <w:tcW w:type="dxa" w:w="1088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3826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Прецедент</w:t>
            </w:r>
          </w:p>
        </w:tc>
        <w:tc>
          <w:tcPr>
            <w:tcW w:type="dxa" w:w="1742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FR</w:t>
            </w:r>
          </w:p>
        </w:tc>
        <w:tc>
          <w:tcPr>
            <w:tcW w:type="dxa" w:w="1633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Транзакций</w:t>
            </w:r>
          </w:p>
        </w:tc>
        <w:tc>
          <w:tcPr>
            <w:tcW w:type="dxa" w:w="1633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Вес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UC01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Регистрация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FR01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UC02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Вход и завершение сессии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FR02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UC03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Восстановление доступа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FR02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UC04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Настройка профиля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FR03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UC05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Поиск курса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FR04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UC06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Изучение карточки курса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FR05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UC07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Запись и выбор своего курса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FR06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UC08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Изучение материалов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FR07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UC09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Решение тестовой задачи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FR08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UC10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Решение задачи на код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FR09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UC11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Просмотр прогресса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FR10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UC12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Получение и проверка сертификата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FR11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UC13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Обсуждение шага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FR12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UC14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Отзыв о курсе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FR13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UC15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Новости и уведомления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FR14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UC16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Создание и публикация курса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FR15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UC17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Редактирование структуры и материалов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FR16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UC18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Настройка и проверка задания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FR17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UC19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Ручное оценивание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FR18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UC20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Управление командой и доступом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FR19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UC21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Отчётность преподавателя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FR20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UC22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Покупка доступа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FR21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UC23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Установка цены и промокода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FR22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UC24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Модерация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FR23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UC25</w:t>
            </w:r>
          </w:p>
        </w:tc>
        <w:tc>
          <w:tcPr>
            <w:tcW w:type="dxa" w:w="38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Управление категориями</w:t>
            </w:r>
          </w:p>
        </w:tc>
        <w:tc>
          <w:tcPr>
            <w:tcW w:type="dxa" w:w="174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FR24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633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</w:tr>
    </w:tbl>
    <w:p>
      <w:r>
        <w:t>UUCW = 240; UUCP = UUCW + UAW = 256. Полные акторы каждого прецедента приведены в книге Excel; ниже перечислены транзакции, по которым получена сложность.</w:t>
      </w:r>
    </w:p>
    <w:p>
      <w:r>
        <w:t>UC01. Регистрация: 1) ввод регистрационных данных; 2) проверка и создание аккаунта; 3) подтверждение адреса; 4) активация аккаунта.</w:t>
      </w:r>
    </w:p>
    <w:p>
      <w:r>
        <w:t>UC02. Вход и завершение сессии: 1) передача учётных данных; 2) проверка и создание сессии; 3) завершение сессии.</w:t>
      </w:r>
    </w:p>
    <w:p>
      <w:r>
        <w:t>UC03. Восстановление доступа: 1) запрос восстановления; 2) выдача ссылки; 3) передача нового пароля; 4) проверка токена и смена пароля.</w:t>
      </w:r>
    </w:p>
    <w:p>
      <w:r>
        <w:t>UC04. Настройка профиля: 1) получение профиля; 2) передача изменений; 3) валидация и сохранение.</w:t>
      </w:r>
    </w:p>
    <w:p>
      <w:r>
        <w:t>UC05. Поиск курса: 1) задание запроса и фильтров; 2) получение подходящих курсов; 3) выбор страницы результатов.</w:t>
      </w:r>
    </w:p>
    <w:p>
      <w:r>
        <w:t>UC06. Изучение карточки курса: 1) запрос карточки; 2) получение описания и программы; 3) получение условий доступа.</w:t>
      </w:r>
    </w:p>
    <w:p>
      <w:r>
        <w:t>UC07. Запись и выбор своего курса: 1) запрос записи; 2) проверка доступности; 3) создание доступа; 4) получение списка своих курсов.</w:t>
      </w:r>
    </w:p>
    <w:p>
      <w:r>
        <w:t>UC08. Изучение материалов: 1) выбор урока; 2) проверка доступа; 3) получение шага; 4) сохранение позиции.</w:t>
      </w:r>
    </w:p>
    <w:p>
      <w:r>
        <w:t>UC09. Решение тестовой задачи: 1) получение условия; 2) передача ответа; 3) проверка ограничений; 4) проверка ответа; 5) сохранение результата; 6) получение обратной связи.</w:t>
      </w:r>
    </w:p>
    <w:p>
      <w:r>
        <w:t>UC10. Решение задачи на код: 1) получение условия; 2) передача кода; 3) валидация языка и доступа; 4) постановка в очередь; 5) передача grader; 6) получение результата; 7) сохранение попытки; 8) выдача результата учащемуся.</w:t>
      </w:r>
    </w:p>
    <w:p>
      <w:r>
        <w:t>UC11. Просмотр прогресса: 1) запрос прогресса; 2) расчёт баллов и доли прохождения; 3) получение сводки.</w:t>
      </w:r>
    </w:p>
    <w:p>
      <w:r>
        <w:t>UC12. Получение и проверка сертификата: 1) запрос сертификата; 2) проверка порога; 3) формирование документа; 4) получение ссылки; 5) проверка подлинности по ссылке.</w:t>
      </w:r>
    </w:p>
    <w:p>
      <w:r>
        <w:t>UC13. Обсуждение шага: 1) чтение обсуждения; 2) передача сообщения или ответа; 3) проверка прав; 4) сохранение и показ сообщения; 5) удаление собственного сообщения.</w:t>
      </w:r>
    </w:p>
    <w:p>
      <w:r>
        <w:t>UC14. Отзыв о курсе: 1) получение отзывов; 2) передача оценки и текста; 3) проверка записи; 4) сохранение либо изменение отзыва; 5) получение обновлённого рейтинга.</w:t>
      </w:r>
    </w:p>
    <w:p>
      <w:r>
        <w:t>UC15. Новости и уведомления: 1) передача новости; 2) проверка прав автора; 3) сохранение новости; 4) определение адресатов и настроек; 5) отправка уведомления; 6) чтение уведомления; 7) отметка прочтения.</w:t>
      </w:r>
    </w:p>
    <w:p>
      <w:r>
        <w:t>UC16. Создание и публикация курса: 1) создание черновика; 2) получение формы; 3) передача описания и категории; 4) сохранение изменений; 5) запрос публикации; 6) проверка готовности; 7) публикация.</w:t>
      </w:r>
    </w:p>
    <w:p>
      <w:r>
        <w:t>UC17. Редактирование структуры и материалов: 1) получение структуры; 2) передача нового элемента; 3) проверка и сохранение; 4) передача медиа; 5) получение ссылки на материал; 6) изменение порядка или содержимого; 7) удаление элемента с проверкой зависимостей.</w:t>
      </w:r>
    </w:p>
    <w:p>
      <w:r>
        <w:t>UC18. Настройка и проверка задания: 1) выбор типа; 2) передача условия; 3) передача эталона или тестов; 4) передача ограничений; 5) валидация; 6) сохранение задания; 7) пробный запуск; 8) получение результата проверки.</w:t>
      </w:r>
    </w:p>
    <w:p>
      <w:r>
        <w:t>UC19. Ручное оценивание: 1) передача свободного ответа; 2) сохранение в очереди; 3) получение работы преподавателем; 4) передача баллов и комментария; 5) проверка полномочий; 6) сохранение оценки; 7) получение результата учащимся.</w:t>
      </w:r>
    </w:p>
    <w:p>
      <w:r>
        <w:t>UC20. Управление командой и доступом: 1) получение списка участников; 2) передача назначения роли или доступа; 3) проверка владельца; 4) сохранение назначения; 5) отзыв роли или доступа.</w:t>
      </w:r>
    </w:p>
    <w:p>
      <w:r>
        <w:t>UC21. Отчётность преподавателя: 1) запрос отчёта с параметрами; 2) проверка доступа; 3) агрегация результатов; 4) получение таблицы; 5) экспорт csv.</w:t>
      </w:r>
    </w:p>
    <w:p>
      <w:r>
        <w:t>UC22. Покупка доступа: 1) запрос покупки; 2) проверка курса и цены; 3) проверка промокода; 4) создание заказа; 5) создание платежа у провайдера; 6) перенаправление пользователя; 7) получение серверного статуса; 8) проверка подлинности и повторов; 9) сохранение платежа и выдача доступа; 10) показ результата.</w:t>
      </w:r>
    </w:p>
    <w:p>
      <w:r>
        <w:t>UC23. Установка цены и промокода: 1) получение цены; 2) передача новой цены; 3) проверка и сохранение; 4) передача параметров промокода; 5) проверка ограничений; 6) создание промокода.</w:t>
      </w:r>
    </w:p>
    <w:p>
      <w:r>
        <w:t>UC24. Модерация: 1) выбор материала или пользователя; 2) получение контекста; 3) выбор меры и причины; 4) проверка полномочий; 5) скрытие контента или ограничение общения; 6) запись в журнал; 7) просмотр журнала.</w:t>
      </w:r>
    </w:p>
    <w:p>
      <w:r>
        <w:t>UC25. Управление категориями: 1) получение справочника; 2) передача новой категории; 3) проверка и сохранение; 4) изменение категории; 5) архивация с проверкой связей.</w:t>
      </w:r>
    </w:p>
    <w:p>
      <w:pPr>
        <w:pStyle w:val="Heading2"/>
      </w:pPr>
      <w:r>
        <w:t>7.2. Технические факторы и окружение</w:t>
      </w:r>
    </w:p>
    <w:p>
      <w:r>
        <w:t>Каждому фактору назначено влияние от 0 до 5. TCF = 0,6 + 0,01Σ(wᵢtᵢ); ECF = 1,4 − 0,03Σ(wᵢeᵢ). Отрицательные веса E7 и E8 сохраняются. Оценки окружения относятся к предполагаемой проектной команде, а не выводятся из размера студенческой группы. [M3]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5"/>
        <w:gridCol w:w="3075"/>
        <w:gridCol w:w="1867"/>
        <w:gridCol w:w="1867"/>
        <w:gridCol w:w="1867"/>
      </w:tblGrid>
      <w:tr>
        <w:trPr>
          <w:tblHeader/>
          <w:cantSplit/>
        </w:trPr>
        <w:tc>
          <w:tcPr>
            <w:tcW w:type="dxa" w:w="1245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3075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Технический фактор</w:t>
            </w:r>
          </w:p>
        </w:tc>
        <w:tc>
          <w:tcPr>
            <w:tcW w:type="dxa" w:w="1867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Вес</w:t>
            </w:r>
          </w:p>
        </w:tc>
        <w:tc>
          <w:tcPr>
            <w:tcW w:type="dxa" w:w="1867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Оценка</w:t>
            </w:r>
          </w:p>
        </w:tc>
        <w:tc>
          <w:tcPr>
            <w:tcW w:type="dxa" w:w="1867"/>
            <w:shd w:fill="E7EEF5"/>
          </w:tcPr>
          <w:p>
            <w:pPr>
              <w:spacing w:after="60" w:before="40" w:line="240" w:lineRule="auto"/>
            </w:pPr>
            <w:r>
              <w:rPr>
                <w:b/>
                <w:sz w:val="20"/>
              </w:rPr>
              <w:t>Вклад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T1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Распределённость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T2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T3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Эффективность пользователя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T4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Сложная обработка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T5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Повторное использование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T6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Простота установки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0,50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1,00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T7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Простота использования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0,50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2,00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T8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Переносимость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T9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Простота изменений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T10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Параллельность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T11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T12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Доступ третьих сторон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24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T13</w:t>
            </w:r>
          </w:p>
        </w:tc>
        <w:tc>
          <w:tcPr>
            <w:tcW w:type="dxa" w:w="3075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Обучение пользователей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867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88"/>
        <w:gridCol w:w="3386"/>
        <w:gridCol w:w="1782"/>
        <w:gridCol w:w="1782"/>
        <w:gridCol w:w="1782"/>
      </w:tblGrid>
      <w:tr>
        <w:trPr>
          <w:tblHeader/>
          <w:cantSplit/>
        </w:trPr>
        <w:tc>
          <w:tcPr>
            <w:tcW w:type="dxa" w:w="1188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3386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Фактор окружения</w:t>
            </w:r>
          </w:p>
        </w:tc>
        <w:tc>
          <w:tcPr>
            <w:tcW w:type="dxa" w:w="1782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Вес</w:t>
            </w:r>
          </w:p>
        </w:tc>
        <w:tc>
          <w:tcPr>
            <w:tcW w:type="dxa" w:w="1782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Оценка</w:t>
            </w:r>
          </w:p>
        </w:tc>
        <w:tc>
          <w:tcPr>
            <w:tcW w:type="dxa" w:w="1782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Вклад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E1</w:t>
            </w:r>
          </w:p>
        </w:tc>
        <w:tc>
          <w:tcPr>
            <w:tcW w:type="dxa" w:w="33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Знакомство с процессом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1,50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4,50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E2</w:t>
            </w:r>
          </w:p>
        </w:tc>
        <w:tc>
          <w:tcPr>
            <w:tcW w:type="dxa" w:w="33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Опыт предметной области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0,50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1,00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E3</w:t>
            </w:r>
          </w:p>
        </w:tc>
        <w:tc>
          <w:tcPr>
            <w:tcW w:type="dxa" w:w="33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Опыт объектного подхода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E4</w:t>
            </w:r>
          </w:p>
        </w:tc>
        <w:tc>
          <w:tcPr>
            <w:tcW w:type="dxa" w:w="33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Способности ведущего аналитика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0,50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1,50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E5</w:t>
            </w:r>
          </w:p>
        </w:tc>
        <w:tc>
          <w:tcPr>
            <w:tcW w:type="dxa" w:w="33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Мотивация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E6</w:t>
            </w:r>
          </w:p>
        </w:tc>
        <w:tc>
          <w:tcPr>
            <w:tcW w:type="dxa" w:w="33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Стабильность требований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E7</w:t>
            </w:r>
          </w:p>
        </w:tc>
        <w:tc>
          <w:tcPr>
            <w:tcW w:type="dxa" w:w="338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Частичная занятость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-1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78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1188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E8</w:t>
            </w:r>
          </w:p>
        </w:tc>
        <w:tc>
          <w:tcPr>
            <w:tcW w:type="dxa" w:w="338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Сложность языка</w:t>
            </w:r>
          </w:p>
        </w:tc>
        <w:tc>
          <w:tcPr>
            <w:tcW w:type="dxa" w:w="178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-1</w:t>
            </w:r>
          </w:p>
        </w:tc>
        <w:tc>
          <w:tcPr>
            <w:tcW w:type="dxa" w:w="178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78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-2</w:t>
            </w:r>
          </w:p>
        </w:tc>
      </w:tr>
    </w:tbl>
    <w:p>
      <w:r>
        <w:t>TF = 40,00; TCF = 1.0000; EF = 17,00; ECF = 0.8900. UCP = (240 + 16) × 1.0000 × 0.8900 = 227,84. Единица UCP — размер, а не человеко-часы.</w:t>
      </w:r>
    </w:p>
    <w:p>
      <w:pPr>
        <w:pStyle w:val="Heading2"/>
      </w:pPr>
      <w:r>
        <w:t>7.3. Фактор продуктивности: доступные данные</w:t>
      </w:r>
    </w:p>
    <w:p>
      <w:r>
        <w:t>Собственного завершённого проекта с известными трудозатратами у авторов нет. Поэтому вычислить эмпирический PF = Href / UCPref по условию задания невозможно. Часы, функции и результаты вымышленного проекта не подставляются. Эта часть задания остаётся ограничением работы.</w:t>
      </w:r>
    </w:p>
    <w:p>
      <w:r>
        <w:t>Для завершения калибровки в будущем нужны: название реального проекта; перечень акторов и транзакций; TCF и ECF; фактические суммарные человеко-часы всех участников в согласованных границах. Затем UCPref = (UUCWref + UAWref) × TCFref × ECFref; PF = Href/UCPref; HStepik = UCP × PF. При неполном учёте тестирования или дизайна PF нельзя без поправок переносить на полный жизненный цикл.</w:t>
      </w:r>
    </w:p>
    <w:p>
      <w:r>
        <w:t>Показан сценарный расчёт H = UCP × PF. Значение 20 чел·ч/UCP используется как исторический ориентир метода, обсуждаемый в [M4]; 10 и 30 выбраны для анализа чувствительности. Ни одно из них не является измеренным PF авторов. Добавочная константа не вводится, чтобы произвольно не учитывать одни и те же работы дважды.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5070"/>
      </w:tblGrid>
      <w:tr>
        <w:trPr>
          <w:tblHeader/>
          <w:cantSplit/>
        </w:trPr>
        <w:tc>
          <w:tcPr>
            <w:tcW w:type="dxa" w:w="2426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Условный PF, чел·ч/UCP</w:t>
            </w:r>
          </w:p>
        </w:tc>
        <w:tc>
          <w:tcPr>
            <w:tcW w:type="dxa" w:w="2426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Трудоёмкость, чел·ч</w:t>
            </w:r>
          </w:p>
        </w:tc>
        <w:tc>
          <w:tcPr>
            <w:tcW w:type="dxa" w:w="5070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242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242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2 278,40</w:t>
            </w:r>
          </w:p>
        </w:tc>
        <w:tc>
          <w:tcPr>
            <w:tcW w:type="dxa" w:w="507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Сценарий без локальной калибровки</w:t>
            </w:r>
          </w:p>
        </w:tc>
      </w:tr>
      <w:tr>
        <w:trPr>
          <w:cantSplit/>
        </w:trPr>
        <w:tc>
          <w:tcPr>
            <w:tcW w:type="dxa" w:w="242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2426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4 556,80</w:t>
            </w:r>
          </w:p>
        </w:tc>
        <w:tc>
          <w:tcPr>
            <w:tcW w:type="dxa" w:w="507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Сценарий без локальной калибровки</w:t>
            </w:r>
          </w:p>
        </w:tc>
      </w:tr>
      <w:tr>
        <w:trPr>
          <w:cantSplit/>
        </w:trPr>
        <w:tc>
          <w:tcPr>
            <w:tcW w:type="dxa" w:w="24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type="dxa" w:w="2426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6 835,20</w:t>
            </w:r>
          </w:p>
        </w:tc>
        <w:tc>
          <w:tcPr>
            <w:tcW w:type="dxa" w:w="5070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Сценарий без локальной калибровки</w:t>
            </w:r>
          </w:p>
        </w:tc>
      </w:tr>
    </w:tbl>
    <w:p>
      <w:r>
        <w:br w:type="page"/>
      </w:r>
    </w:p>
    <w:p>
      <w:pPr>
        <w:pStyle w:val="Heading1"/>
      </w:pPr>
      <w:r>
        <w:t>8. Сравнение результатов и вывод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2"/>
        <w:gridCol w:w="1539"/>
        <w:gridCol w:w="6530"/>
      </w:tblGrid>
      <w:tr>
        <w:trPr>
          <w:tblHeader/>
          <w:cantSplit/>
        </w:trPr>
        <w:tc>
          <w:tcPr>
            <w:tcW w:type="dxa" w:w="1852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1539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Трудоёмкость, чел·ч</w:t>
            </w:r>
          </w:p>
        </w:tc>
        <w:tc>
          <w:tcPr>
            <w:tcW w:type="dxa" w:w="6530"/>
            <w:shd w:fill="E7EEF5"/>
          </w:tcPr>
          <w:p>
            <w:pPr>
              <w:keepNext/>
              <w:spacing w:after="60" w:before="40" w:line="240" w:lineRule="auto"/>
            </w:pPr>
            <w:r>
              <w:rPr>
                <w:b/>
                <w:sz w:val="20"/>
              </w:rPr>
              <w:t>Что означает результат</w:t>
            </w:r>
          </w:p>
        </w:tc>
      </w:tr>
      <w:tr>
        <w:trPr>
          <w:cantSplit/>
        </w:trPr>
        <w:tc>
          <w:tcPr>
            <w:tcW w:type="dxa" w:w="185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Наивный</w:t>
            </w:r>
          </w:p>
        </w:tc>
        <w:tc>
          <w:tcPr>
            <w:tcW w:type="dxa" w:w="153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2304</w:t>
            </w:r>
          </w:p>
        </w:tc>
        <w:tc>
          <w:tcPr>
            <w:tcW w:type="dxa" w:w="653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Сумма наиболее вероятных оценок WBS.</w:t>
            </w:r>
          </w:p>
        </w:tc>
      </w:tr>
      <w:tr>
        <w:trPr>
          <w:cantSplit/>
        </w:trPr>
        <w:tc>
          <w:tcPr>
            <w:tcW w:type="dxa" w:w="185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PERT</w:t>
            </w:r>
          </w:p>
        </w:tc>
        <w:tc>
          <w:tcPr>
            <w:tcW w:type="dxa" w:w="153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2 428,00</w:t>
            </w:r>
          </w:p>
        </w:tc>
        <w:tc>
          <w:tcPr>
            <w:tcW w:type="dxa" w:w="653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Ожидаемая сумма всех работ; без подмены критическим путём.</w:t>
            </w:r>
          </w:p>
        </w:tc>
      </w:tr>
      <w:tr>
        <w:trPr>
          <w:cantSplit/>
        </w:trPr>
        <w:tc>
          <w:tcPr>
            <w:tcW w:type="dxa" w:w="1852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FP + COCOMO II</w:t>
            </w:r>
          </w:p>
        </w:tc>
        <w:tc>
          <w:tcPr>
            <w:tcW w:type="dxa" w:w="1539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11 634,79</w:t>
            </w:r>
          </w:p>
        </w:tc>
        <w:tc>
          <w:tcPr>
            <w:tcW w:type="dxa" w:w="6530"/>
          </w:tcPr>
          <w:p>
            <w:pPr>
              <w:keepNext/>
              <w:spacing w:after="60" w:before="40" w:line="240" w:lineRule="auto"/>
            </w:pPr>
            <w:r>
              <w:rPr>
                <w:sz w:val="20"/>
              </w:rPr>
              <w:t>Параметрическая оценка при выбранных SF/EM и 47 SLOC/FP.</w:t>
            </w:r>
          </w:p>
        </w:tc>
      </w:tr>
      <w:tr>
        <w:trPr>
          <w:cantSplit/>
        </w:trPr>
        <w:tc>
          <w:tcPr>
            <w:tcW w:type="dxa" w:w="1852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UCP, условный PF=20</w:t>
            </w:r>
          </w:p>
        </w:tc>
        <w:tc>
          <w:tcPr>
            <w:tcW w:type="dxa" w:w="1539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4 556,80</w:t>
            </w:r>
          </w:p>
        </w:tc>
        <w:tc>
          <w:tcPr>
            <w:tcW w:type="dxa" w:w="6530"/>
          </w:tcPr>
          <w:p>
            <w:pPr>
              <w:spacing w:after="60" w:before="40" w:line="240" w:lineRule="auto"/>
            </w:pPr>
            <w:r>
              <w:rPr>
                <w:sz w:val="20"/>
              </w:rPr>
              <w:t>Сценарный ориентир; не результат калибровки на собственном проекте.</w:t>
            </w:r>
          </w:p>
        </w:tc>
      </w:tr>
    </w:tbl>
    <w:p>
      <w:r>
        <w:t>PERT превышает наивную оценку на 5,38%: пессимистические исходы дают асимметрию для сложных интеграций. Разница не доказывает точность одного метода: оба используют один экспертный WBS и одинаковые границы.</w:t>
      </w:r>
    </w:p>
    <w:p>
      <w:r>
        <w:t>Ресурсный граф даёт минимальную длительность 30,87 рабочих недель, а выбранное расписание для 3 исполнителей — 30,87 недели при полной доступности. С учётом доступности 80% и отдельного резерва 15% плановый ориентир — 45 рабочих недель. Эти сроки нельзя записывать в колонку человеко-часов.</w:t>
      </w:r>
    </w:p>
    <w:p>
      <w:r>
        <w:t>COCOMO даёт 4,79 от трудоёмкости PERT. Расхождение обусловлено отраслевыми коэффициентами, предварительным FP-подсчётом, предположением о новом прикладном коде и различием границ фаз. Оно указывает на необходимость проверки WBS и интеграционных прототипов; отраслевое происхождение коэффициентов само по себе не делает оценку достовернее для конкретной команды.</w:t>
      </w:r>
    </w:p>
    <w:p>
      <w:r>
        <w:t>UCP даёт размер 227,84 и линейную зависимость трудоёмкости от PF. Без исторических данных нельзя выбрать единственную подтверждённую трудоёмкость. Условные значения помогают увидеть чувствительность, но не заменяют требуемый опыт завершённого проекта.</w:t>
      </w:r>
    </w:p>
    <w:p>
      <w:r>
        <w:t>Вывод: сформированы требования к аналогу Stepik, выполнены WBS, PERT и CPM, построен ресурсный план, подсчитаны функциональные точки, применены COCOMO II и UCP. Для первого планирования полезен прозрачный WBS/PERT с резервом, а COCOMO и UCP служат независимыми проверками. После прототипа оплаты и проверки кода следует уточнить O/M/P и собрать фактическую скорость команды. Экспериментальная калибровка PF по собственному проекту не выполнена из-за отсутствия исходных данных; её необходимо дополнить для полного выполнения соответствующего пункта задания.</w:t>
      </w:r>
    </w:p>
    <w:p>
      <w:r>
        <w:br w:type="page"/>
      </w:r>
    </w:p>
    <w:p>
      <w:pPr>
        <w:pStyle w:val="Heading1"/>
      </w:pPr>
      <w:r>
        <w:t>9. Источники</w:t>
      </w:r>
    </w:p>
    <w:p>
      <w:r>
        <w:t>Дата обращения ко всем веб-источникам: 14.09.2026. Требования пересказаны, а не скопированы. Ссылки S подтверждают функции Stepik, M — используемые методы; численные оценки проекта являются самостоятельными допущениями.</w:t>
      </w:r>
    </w:p>
    <w:p>
      <w:r>
        <w:t>[S1] Stepik: каталог курсов. https://stepik.org/catalog — Веб-каталог; динамическая страница. Подробности функций проверены по справочному центру.</w:t>
      </w:r>
    </w:p>
    <w:p>
      <w:r>
        <w:t>[S2] С чего начать. https://help.stepik.org/article/54712 — Каталог, поиск и начало обучения.</w:t>
      </w:r>
    </w:p>
    <w:p>
      <w:r>
        <w:t>[S3] Структура курса. https://help.stepik.org/article/54734 — Модули, уроки, шаги и прогресс.</w:t>
      </w:r>
    </w:p>
    <w:p>
      <w:r>
        <w:t>[S4] Как создать урок и курс. https://help.stepik.org/article/54788 — Редактор и публикация учебного контента.</w:t>
      </w:r>
    </w:p>
    <w:p>
      <w:r>
        <w:t>[S5] Виды практических задач. https://help.stepik.org/article/54741 — Автоматическая проверка, программирование, ручное рецензирование.</w:t>
      </w:r>
    </w:p>
    <w:p>
      <w:r>
        <w:t>[S6] Как оплатить курс. https://help.stepik.org/article/54772 — Покупка, промокоды, зачисление после оплаты.</w:t>
      </w:r>
    </w:p>
    <w:p>
      <w:r>
        <w:t>[S7] Настройка сертификатов в курсах. https://help.stepik.org/article/54825 — Порог баллов, обычный сертификат и сертификат с отличием.</w:t>
      </w:r>
    </w:p>
    <w:p>
      <w:r>
        <w:t>[S8] Поддержка курса (комментарии, нотификации). https://help.stepik.org/article/54810 — Комментарии, новости и уведомления.</w:t>
      </w:r>
    </w:p>
    <w:p>
      <w:r>
        <w:t>[S9] Статистика по курсу. https://help.stepik.org/article/54814 — Отчётность по результатам обучения.</w:t>
      </w:r>
    </w:p>
    <w:p>
      <w:r>
        <w:t>[S10] Категории курса. https://help.stepik.org/article/60913 — Категоризация курсов.</w:t>
      </w:r>
    </w:p>
    <w:p>
      <w:r>
        <w:t>[S11] Правила сообщества Stepik. https://help.stepik.org/article/54715 — Модерация и ограничения общения.</w:t>
      </w:r>
    </w:p>
    <w:p>
      <w:r>
        <w:t>[M1] QSM: Function Point Languages Table 5.0. https://www.qsm.com/resources/function-point-languages-table — JavaScript: среднее 47, диапазон 31–63 логических SLOC/FP.</w:t>
      </w:r>
    </w:p>
    <w:p>
      <w:r>
        <w:t>[M2] USC: COCOMO II Model Definition Manual, v2.1 (2000). https://www.rose-hulman.edu/class/cs/csse372/201310/Homework/CII_modelman2000.pdf — Разделы 2, 3, 4, 6; таблицы 62–63. Первичный документ USC на университетском зеркале.</w:t>
      </w:r>
    </w:p>
    <w:p>
      <w:r>
        <w:t>[M3] Sparx Systems: Project Estimation Using Use Case Metrics. https://sparxsystems.com/resources/ucmetrics.html — Вес акторов, прецедентов, технические факторы и факторы окружения.</w:t>
      </w:r>
    </w:p>
    <w:p>
      <w:r>
        <w:t>[M4] Anda et al.: Estimating Software Development Effort Based on Use Cases — Experiences from Industry (2001). https://web-backend.simula.no/sites/default/files/publications/SE.5.Anda.2001.a.pdf — Исследование применения UCP; ориентир 20 чел·ч/UCP не заменяет локальную калибровку.</w:t>
      </w:r>
    </w:p>
    <w:p>
      <w:r>
        <w:t>Образец структуры: предоставленные пользователем файлы ~/epi1_max (README, отчёт, Excel и draw.io).</w:t>
      </w:r>
    </w:p>
    <w:sectPr w:rsidR="00FC693F" w:rsidRPr="0006063C" w:rsidSect="00034616">
      <w:footerReference w:type="default" r:id="rId9"/>
      <w:pgSz w:w="11906" w:h="16838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03E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03E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03E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— Stepik</dc:title>
  <dc:subject>Экономика программной инженерии</dc:subject>
  <dc:creator>Трикашный Михаил Дмитриевич; Амузинский Артем Андреевич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