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8"/>
          <w:szCs w:val="48"/>
        </w:rPr>
        <w:t xml:space="preserve">THE 3+1 FILTER™ ANALYSIS</w:t>
      </w:r>
    </w:p>
    <w:p>
      <w:pPr>
        <w:spacing w:after="100"/>
        <w:jc w:val="center"/>
      </w:pPr>
      <w:r>
        <w:rPr>
          <w:rFonts w:ascii="Arial" w:cs="Arial" w:eastAsia="Arial" w:hAnsi="Arial"/>
          <w:color w:val="2C3E50"/>
          <w:sz w:val="36"/>
          <w:szCs w:val="36"/>
        </w:rPr>
        <w:t xml:space="preserve">AbCellera Biologics Inc. (NASDAQ: ABCL)</w:t>
      </w:r>
    </w:p>
    <w:p>
      <w:pPr>
        <w:spacing w:after="400"/>
        <w:jc w:val="center"/>
      </w:pPr>
      <w:r>
        <w:rPr>
          <w:rFonts w:ascii="Arial" w:cs="Arial" w:eastAsia="Arial" w:hAnsi="Arial"/>
          <w:color w:val="7F8C8D"/>
          <w:sz w:val="24"/>
          <w:szCs w:val="24"/>
        </w:rPr>
        <w:t xml:space="preserve">March 27, 2026</w:t>
      </w:r>
    </w:p>
    <w:p>
      <w:pPr>
        <w:jc w:val="center"/>
      </w:pPr>
      <w:r>
        <w:rPr>
          <w:color w:val="1B4F72"/>
          <w:sz w:val="20"/>
          <w:szCs w:val="20"/>
        </w:rPr>
        <w:t xml:space="preserve">────────────────────────────────────────</w:t>
      </w:r>
    </w:p>
    <w:p>
      <w:pPr>
        <w:spacing w:before="400"/>
        <w:jc w:val="center"/>
      </w:pPr>
      <w:r>
        <w:rPr>
          <w:rFonts w:ascii="Arial" w:cs="Arial" w:eastAsia="Arial" w:hAnsi="Arial"/>
          <w:i/>
          <w:iCs/>
          <w:color w:val="2C3E50"/>
          <w:sz w:val="28"/>
          <w:szCs w:val="28"/>
        </w:rPr>
        <w:t xml:space="preserve">Is ABCL the Palantir of Biotech?</w:t>
      </w:r>
    </w:p>
    <w:p>
      <w:pPr>
        <w:spacing w:before="200"/>
        <w:jc w:val="center"/>
      </w:pPr>
      <w:r>
        <w:rPr>
          <w:rFonts w:ascii="Arial" w:cs="Arial" w:eastAsia="Arial" w:hAnsi="Arial"/>
          <w:color w:val="7F8C8D"/>
          <w:sz w:val="20"/>
          <w:szCs w:val="20"/>
        </w:rPr>
        <w:t xml:space="preserve">A platform-as-a-service antibody discovery company pivoting to clinical-stage drug development</w:t>
      </w:r>
    </w:p>
    <w:p>
      <w:pPr>
        <w:spacing w:before="600"/>
        <w:jc w:val="center"/>
      </w:pPr>
      <w:r>
        <w:rPr>
          <w:rFonts w:ascii="Arial" w:cs="Arial" w:eastAsia="Arial" w:hAnsi="Arial"/>
          <w:b/>
          <w:bCs/>
          <w:color w:val="1B4F72"/>
          <w:sz w:val="20"/>
          <w:szCs w:val="20"/>
        </w:rPr>
        <w:t xml:space="preserve">Market Cap: ~$1.03B  |  Stock Price: ~$3.39  |  Cash: ~$700M</w:t>
      </w:r>
    </w:p>
    <w:p>
      <w:pPr>
        <w:spacing w:before="100"/>
        <w:jc w:val="center"/>
      </w:pPr>
      <w:r>
        <w:rPr>
          <w:rFonts w:ascii="Arial" w:cs="Arial" w:eastAsia="Arial" w:hAnsi="Arial"/>
          <w:color w:val="C0392B"/>
          <w:sz w:val="16"/>
          <w:szCs w:val="16"/>
        </w:rPr>
        <w:t xml:space="preserve">FOR INFORMATIONAL PURPOSES ONLY — NOT INVESTMENT ADVICE</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Executive Summary</w:t>
      </w:r>
    </w:p>
    <w:p>
      <w:pPr>
        <w:spacing w:after="120"/>
      </w:pPr>
      <w:r>
        <w:rPr>
          <w:rFonts w:ascii="Arial" w:cs="Arial" w:eastAsia="Arial" w:hAnsi="Arial"/>
          <w:sz w:val="22"/>
          <w:szCs w:val="22"/>
        </w:rPr>
        <w:t xml:space="preserve">AbCellera Biologics (ABCL) is a full-stack antibody discovery platform company that has pivoted from a pure technology-enabler/partnership model toward developing its own internal clinical-stage pipeline. The company’s AI-powered platform integrates microfabrication, computer vision, and machine learning to screen millions of B cells, generating high-quality antibody candidates at unprecedented depth. With 104 cumulative partner program starts, 19 partnered molecules in the clinic, a $700M cash position, and a growing internal pipeline (ABCL635 in Phase 2, ABCL575 in Phase 1), ABCL sits at a strategic inflection point.</w:t>
      </w:r>
    </w:p>
    <w:p>
      <w:pPr>
        <w:spacing w:after="120"/>
      </w:pPr>
      <w:r>
        <w:rPr>
          <w:rFonts w:ascii="Arial" w:cs="Arial" w:eastAsia="Arial" w:hAnsi="Arial"/>
          <w:sz w:val="22"/>
          <w:szCs w:val="22"/>
        </w:rPr>
        <w:t xml:space="preserve">However, the company’s internal pipeline is early-stage, revenue from core operations (ex-litigation settlement) is modest at ~$30M, and both lead programs face well-established competitors. The “Palantir of biotech” comparison has structural merit but critical limitations.</w:t>
      </w:r>
    </w:p>
    <w:p>
      <w:pPr>
        <w:pStyle w:val="Heading1"/>
        <w:spacing w:after="150" w:before="300"/>
      </w:pPr>
      <w:r>
        <w:rPr>
          <w:rFonts w:ascii="Arial" w:cs="Arial" w:eastAsia="Arial" w:hAnsi="Arial"/>
          <w:b/>
          <w:bCs/>
        </w:rPr>
        <w:t xml:space="preserve">Company Overview</w:t>
      </w:r>
    </w:p>
    <w:p>
      <w:pPr>
        <w:spacing w:after="100"/>
      </w:pPr>
      <w:r>
        <w:rPr>
          <w:rFonts w:ascii="Arial" w:cs="Arial" w:eastAsia="Arial" w:hAnsi="Arial"/>
          <w:b/>
          <w:bCs/>
          <w:sz w:val="22"/>
          <w:szCs w:val="22"/>
        </w:rPr>
        <w:t xml:space="preserve">Founded: </w:t>
      </w:r>
      <w:r>
        <w:rPr>
          <w:rFonts w:ascii="Arial" w:cs="Arial" w:eastAsia="Arial" w:hAnsi="Arial"/>
          <w:sz w:val="22"/>
          <w:szCs w:val="22"/>
        </w:rPr>
        <w:t xml:space="preserve">2012  |  Headquarters: Vancouver, Canada  |  CEO: Carl Hansen, PhD</w:t>
      </w:r>
    </w:p>
    <w:p>
      <w:pPr>
        <w:spacing w:after="100"/>
      </w:pPr>
      <w:r>
        <w:rPr>
          <w:rFonts w:ascii="Arial" w:cs="Arial" w:eastAsia="Arial" w:hAnsi="Arial"/>
          <w:b/>
          <w:bCs/>
          <w:sz w:val="22"/>
          <w:szCs w:val="22"/>
        </w:rPr>
        <w:t xml:space="preserve">IPO: </w:t>
      </w:r>
      <w:r>
        <w:rPr>
          <w:rFonts w:ascii="Arial" w:cs="Arial" w:eastAsia="Arial" w:hAnsi="Arial"/>
          <w:sz w:val="22"/>
          <w:szCs w:val="22"/>
        </w:rPr>
        <w:t xml:space="preserve">December 2020 (NASDAQ: ABCL)  |  Market Cap: ~$1.03B (March 2026)</w:t>
      </w:r>
    </w:p>
    <w:p>
      <w:pPr>
        <w:spacing w:after="100"/>
      </w:pPr>
      <w:r>
        <w:rPr>
          <w:rFonts w:ascii="Arial" w:cs="Arial" w:eastAsia="Arial" w:hAnsi="Arial"/>
          <w:b/>
          <w:bCs/>
          <w:sz w:val="22"/>
          <w:szCs w:val="22"/>
        </w:rPr>
        <w:t xml:space="preserve">Employees: </w:t>
      </w:r>
      <w:r>
        <w:rPr>
          <w:rFonts w:ascii="Arial" w:cs="Arial" w:eastAsia="Arial" w:hAnsi="Arial"/>
          <w:sz w:val="22"/>
          <w:szCs w:val="22"/>
        </w:rPr>
        <w:t xml:space="preserve">~600+  |  GMP Facility: 124,000 sqft (Vancouver, operational)</w:t>
      </w:r>
    </w:p>
    <w:p>
      <w:pPr>
        <w:spacing w:after="120"/>
      </w:pPr>
      <w:r>
        <w:rPr>
          <w:rFonts w:ascii="Arial" w:cs="Arial" w:eastAsia="Arial" w:hAnsi="Arial"/>
          <w:sz w:val="22"/>
          <w:szCs w:val="22"/>
        </w:rPr>
        <w:t xml:space="preserve">AbCellera describes itself as a technology company that searches and analyzes the database of natural immune systems to find antibodies that can be developed as drugs. The platform combines proprietary single-cell screening technology with AI/ML to identify therapeutic antibody candidates faster and with higher probability of success than traditional methods.</w:t>
      </w:r>
    </w:p>
    <w:p>
      <w:pPr>
        <w:pStyle w:val="Heading1"/>
        <w:spacing w:after="150" w:before="300"/>
      </w:pPr>
      <w:r>
        <w:rPr>
          <w:rFonts w:ascii="Arial" w:cs="Arial" w:eastAsia="Arial" w:hAnsi="Arial"/>
          <w:b/>
          <w:bCs/>
        </w:rPr>
        <w:t xml:space="preserve">Layer 1 — Science (Score: 3.0 / 5)</w:t>
      </w:r>
    </w:p>
    <w:p>
      <w:pPr>
        <w:spacing w:after="120"/>
      </w:pPr>
      <w:r>
        <w:rPr>
          <w:rFonts w:ascii="Arial" w:cs="Arial" w:eastAsia="Arial" w:hAnsi="Arial"/>
          <w:sz w:val="22"/>
          <w:szCs w:val="22"/>
        </w:rPr>
        <w:t xml:space="preserve">Question: Does the biology and clinical plan credibly deliver a meaningful patient benefit?</w:t>
      </w:r>
    </w:p>
    <w:p>
      <w:pPr>
        <w:pStyle w:val="Heading2"/>
        <w:spacing w:after="150" w:before="300"/>
      </w:pPr>
      <w:r>
        <w:rPr>
          <w:rFonts w:ascii="Arial" w:cs="Arial" w:eastAsia="Arial" w:hAnsi="Arial"/>
          <w:b/>
          <w:bCs/>
        </w:rPr>
        <w:t xml:space="preserve">Platform Technology</w:t>
      </w:r>
    </w:p>
    <w:p>
      <w:pPr>
        <w:spacing w:after="120"/>
      </w:pPr>
      <w:r>
        <w:rPr>
          <w:rFonts w:ascii="Arial" w:cs="Arial" w:eastAsia="Arial" w:hAnsi="Arial"/>
          <w:sz w:val="22"/>
          <w:szCs w:val="22"/>
        </w:rPr>
        <w:t xml:space="preserve">AbCellera’s core platform is genuinely differentiated. It uses microfluidics to screen millions of individual B cells in parallel, applying computer vision and ML to identify optimal antibody candidates. The Trianni Mouse® technology maximizes immune response diversity for fully human antibodies. The GPCR and ion channel targeting capabilities (which produced ABCL635) represent a meaningful expansion into historically difficult drug targets. 104 cumulative partner program starts and 19 partnered molecules reaching the clinic provide strong external validation of the platform’s utility.</w:t>
      </w:r>
    </w:p>
    <w:p>
      <w:pPr>
        <w:pStyle w:val="Heading2"/>
        <w:spacing w:after="150" w:before="300"/>
      </w:pPr>
      <w:r>
        <w:rPr>
          <w:rFonts w:ascii="Arial" w:cs="Arial" w:eastAsia="Arial" w:hAnsi="Arial"/>
          <w:b/>
          <w:bCs/>
        </w:rPr>
        <w:t xml:space="preserve">Lead Program: ABCL635 (VMS/Menopause)</w:t>
      </w:r>
    </w:p>
    <w:p>
      <w:pPr>
        <w:spacing w:after="100"/>
      </w:pPr>
      <w:r>
        <w:rPr>
          <w:rFonts w:ascii="Arial" w:cs="Arial" w:eastAsia="Arial" w:hAnsi="Arial"/>
          <w:b/>
          <w:bCs/>
          <w:sz w:val="22"/>
          <w:szCs w:val="22"/>
        </w:rPr>
        <w:t xml:space="preserve">Target: </w:t>
      </w:r>
      <w:r>
        <w:rPr>
          <w:rFonts w:ascii="Arial" w:cs="Arial" w:eastAsia="Arial" w:hAnsi="Arial"/>
          <w:sz w:val="22"/>
          <w:szCs w:val="22"/>
        </w:rPr>
        <w:t xml:space="preserve">NK3R (neurokinin 3 receptor) on KNDy neurons in the hypothalamus</w:t>
      </w:r>
    </w:p>
    <w:p>
      <w:pPr>
        <w:spacing w:after="100"/>
      </w:pPr>
      <w:r>
        <w:rPr>
          <w:rFonts w:ascii="Arial" w:cs="Arial" w:eastAsia="Arial" w:hAnsi="Arial"/>
          <w:b/>
          <w:bCs/>
          <w:sz w:val="22"/>
          <w:szCs w:val="22"/>
        </w:rPr>
        <w:t xml:space="preserve">Indication: </w:t>
      </w:r>
      <w:r>
        <w:rPr>
          <w:rFonts w:ascii="Arial" w:cs="Arial" w:eastAsia="Arial" w:hAnsi="Arial"/>
          <w:sz w:val="22"/>
          <w:szCs w:val="22"/>
        </w:rPr>
        <w:t xml:space="preserve">Non-hormonal treatment of vasomotor symptoms (hot flashes) due to menopause</w:t>
      </w:r>
    </w:p>
    <w:p>
      <w:pPr>
        <w:spacing w:after="100"/>
      </w:pPr>
      <w:r>
        <w:rPr>
          <w:rFonts w:ascii="Arial" w:cs="Arial" w:eastAsia="Arial" w:hAnsi="Arial"/>
          <w:b/>
          <w:bCs/>
          <w:sz w:val="22"/>
          <w:szCs w:val="22"/>
        </w:rPr>
        <w:t xml:space="preserve">Phase: </w:t>
      </w:r>
      <w:r>
        <w:rPr>
          <w:rFonts w:ascii="Arial" w:cs="Arial" w:eastAsia="Arial" w:hAnsi="Arial"/>
          <w:sz w:val="22"/>
          <w:szCs w:val="22"/>
        </w:rPr>
        <w:t xml:space="preserve">Phase 1/2 (Phase 2 portion dosing began January 2026)</w:t>
      </w:r>
    </w:p>
    <w:p>
      <w:pPr>
        <w:spacing w:after="100"/>
      </w:pPr>
      <w:r>
        <w:rPr>
          <w:rFonts w:ascii="Arial" w:cs="Arial" w:eastAsia="Arial" w:hAnsi="Arial"/>
          <w:b/>
          <w:bCs/>
          <w:sz w:val="22"/>
          <w:szCs w:val="22"/>
        </w:rPr>
        <w:t xml:space="preserve">Study Design: </w:t>
      </w:r>
      <w:r>
        <w:rPr>
          <w:rFonts w:ascii="Arial" w:cs="Arial" w:eastAsia="Arial" w:hAnsi="Arial"/>
          <w:sz w:val="22"/>
          <w:szCs w:val="22"/>
        </w:rPr>
        <w:t xml:space="preserve">Multicenter, randomized, double-blind, placebo-controlled; 80 postmenopausal women</w:t>
      </w:r>
    </w:p>
    <w:p>
      <w:pPr>
        <w:spacing w:after="100"/>
      </w:pPr>
      <w:r>
        <w:rPr>
          <w:rFonts w:ascii="Arial" w:cs="Arial" w:eastAsia="Arial" w:hAnsi="Arial"/>
          <w:b/>
          <w:bCs/>
          <w:sz w:val="22"/>
          <w:szCs w:val="22"/>
        </w:rPr>
        <w:t xml:space="preserve">Key Readout: </w:t>
      </w:r>
      <w:r>
        <w:rPr>
          <w:rFonts w:ascii="Arial" w:cs="Arial" w:eastAsia="Arial" w:hAnsi="Arial"/>
          <w:sz w:val="22"/>
          <w:szCs w:val="22"/>
        </w:rPr>
        <w:t xml:space="preserve">Q3 2026</w:t>
      </w:r>
    </w:p>
    <w:p>
      <w:pPr>
        <w:spacing w:after="120"/>
      </w:pPr>
      <w:r>
        <w:rPr>
          <w:rFonts w:ascii="Arial" w:cs="Arial" w:eastAsia="Arial" w:hAnsi="Arial"/>
          <w:sz w:val="22"/>
          <w:szCs w:val="22"/>
        </w:rPr>
        <w:t xml:space="preserve">The NK3R pathway is clinically validated — Astellas’s fezolinetant (Veozah), an oral NK3R antagonist, was FDA-approved in May 2023 and shows 60-80% reduction in VMS frequency/severity. This validates the target biology. ABCL635 is an antibody (injectable) rather than a small molecule (oral), which raises a core differentiation question: what is the advantage of an antibody approach in a space where oral small molecules already exist? Potential advantages include longer dosing intervals (monthly or less frequent injection vs. daily pill) and potentially better safety/tolerability, but this is unproven. Phase 1 showed encouraging target engagement, but efficacy data is pending.</w:t>
      </w:r>
    </w:p>
    <w:p>
      <w:pPr>
        <w:spacing w:after="100"/>
      </w:pPr>
      <w:r>
        <w:rPr>
          <w:rFonts w:ascii="Arial" w:cs="Arial" w:eastAsia="Arial" w:hAnsi="Arial"/>
          <w:b/>
          <w:bCs/>
          <w:sz w:val="22"/>
          <w:szCs w:val="22"/>
        </w:rPr>
        <w:t xml:space="preserve">Science Assessment: </w:t>
      </w:r>
      <w:r>
        <w:rPr>
          <w:rFonts w:ascii="Arial" w:cs="Arial" w:eastAsia="Arial" w:hAnsi="Arial"/>
          <w:sz w:val="22"/>
          <w:szCs w:val="22"/>
        </w:rPr>
        <w:t xml:space="preserve">Validated target biology (NK3R), but ABCL635 is a follower in a space with an approved oral drug. The antibody modality must demonstrate clear differentiation on dosing convenience or safety. Phase 2 data (Q3 2026) is the de-risking event.</w:t>
      </w:r>
    </w:p>
    <w:p>
      <w:pPr>
        <w:pStyle w:val="Heading2"/>
        <w:spacing w:after="150" w:before="300"/>
      </w:pPr>
      <w:r>
        <w:rPr>
          <w:rFonts w:ascii="Arial" w:cs="Arial" w:eastAsia="Arial" w:hAnsi="Arial"/>
          <w:b/>
          <w:bCs/>
        </w:rPr>
        <w:t xml:space="preserve">Second Program: ABCL575 (Atopic Dermatitis)</w:t>
      </w:r>
    </w:p>
    <w:p>
      <w:pPr>
        <w:spacing w:after="100"/>
      </w:pPr>
      <w:r>
        <w:rPr>
          <w:rFonts w:ascii="Arial" w:cs="Arial" w:eastAsia="Arial" w:hAnsi="Arial"/>
          <w:b/>
          <w:bCs/>
          <w:sz w:val="22"/>
          <w:szCs w:val="22"/>
        </w:rPr>
        <w:t xml:space="preserve">Target: </w:t>
      </w:r>
      <w:r>
        <w:rPr>
          <w:rFonts w:ascii="Arial" w:cs="Arial" w:eastAsia="Arial" w:hAnsi="Arial"/>
          <w:sz w:val="22"/>
          <w:szCs w:val="22"/>
        </w:rPr>
        <w:t xml:space="preserve">OX40L (disrupts OX40/OX40L inflammatory signaling)</w:t>
      </w:r>
    </w:p>
    <w:p>
      <w:pPr>
        <w:spacing w:after="100"/>
      </w:pPr>
      <w:r>
        <w:rPr>
          <w:rFonts w:ascii="Arial" w:cs="Arial" w:eastAsia="Arial" w:hAnsi="Arial"/>
          <w:b/>
          <w:bCs/>
          <w:sz w:val="22"/>
          <w:szCs w:val="22"/>
        </w:rPr>
        <w:t xml:space="preserve">Indication: </w:t>
      </w:r>
      <w:r>
        <w:rPr>
          <w:rFonts w:ascii="Arial" w:cs="Arial" w:eastAsia="Arial" w:hAnsi="Arial"/>
          <w:sz w:val="22"/>
          <w:szCs w:val="22"/>
        </w:rPr>
        <w:t xml:space="preserve">Moderate-to-severe atopic dermatitis</w:t>
      </w:r>
    </w:p>
    <w:p>
      <w:pPr>
        <w:spacing w:after="100"/>
      </w:pPr>
      <w:r>
        <w:rPr>
          <w:rFonts w:ascii="Arial" w:cs="Arial" w:eastAsia="Arial" w:hAnsi="Arial"/>
          <w:b/>
          <w:bCs/>
          <w:sz w:val="22"/>
          <w:szCs w:val="22"/>
        </w:rPr>
        <w:t xml:space="preserve">Phase: </w:t>
      </w:r>
      <w:r>
        <w:rPr>
          <w:rFonts w:ascii="Arial" w:cs="Arial" w:eastAsia="Arial" w:hAnsi="Arial"/>
          <w:sz w:val="22"/>
          <w:szCs w:val="22"/>
        </w:rPr>
        <w:t xml:space="preserve">Phase 1 (initiated Q3 2025, data expected mid-2026)</w:t>
      </w:r>
    </w:p>
    <w:p>
      <w:pPr>
        <w:spacing w:after="100"/>
      </w:pPr>
      <w:r>
        <w:rPr>
          <w:rFonts w:ascii="Arial" w:cs="Arial" w:eastAsia="Arial" w:hAnsi="Arial"/>
          <w:b/>
          <w:bCs/>
          <w:sz w:val="22"/>
          <w:szCs w:val="22"/>
        </w:rPr>
        <w:t xml:space="preserve">Differentiation: </w:t>
      </w:r>
      <w:r>
        <w:rPr>
          <w:rFonts w:ascii="Arial" w:cs="Arial" w:eastAsia="Arial" w:hAnsi="Arial"/>
          <w:sz w:val="22"/>
          <w:szCs w:val="22"/>
        </w:rPr>
        <w:t xml:space="preserve">Fc-modified for silencing and half-life extension</w:t>
      </w:r>
    </w:p>
    <w:p>
      <w:pPr>
        <w:spacing w:after="120"/>
      </w:pPr>
      <w:r>
        <w:rPr>
          <w:rFonts w:ascii="Arial" w:cs="Arial" w:eastAsia="Arial" w:hAnsi="Arial"/>
          <w:sz w:val="22"/>
          <w:szCs w:val="22"/>
        </w:rPr>
        <w:t xml:space="preserve">The OX40/OX40L pathway is a validated target in AD, with amlitelimab (Phase 2b positive data, advancing) and rocatinlimab (multiple Phase 3 trials) well ahead. ABCL575 is very early and enters a crowded field with multiple next-generation OX40L agents (IMG-007, STAR-0310, APG990). Differentiation will need to come from superior dosing, efficacy, or safety — none of which is demonstrated yet.</w:t>
      </w:r>
    </w:p>
    <w:p>
      <w:pPr>
        <w:pStyle w:val="Heading2"/>
        <w:spacing w:after="150" w:before="300"/>
      </w:pPr>
      <w:r>
        <w:rPr>
          <w:rFonts w:ascii="Arial" w:cs="Arial" w:eastAsia="Arial" w:hAnsi="Arial"/>
          <w:b/>
          <w:bCs/>
        </w:rPr>
        <w:t xml:space="preserve">Earlier Pipeline</w:t>
      </w:r>
    </w:p>
    <w:p>
      <w:pPr>
        <w:spacing w:after="100"/>
      </w:pPr>
      <w:r>
        <w:rPr>
          <w:rFonts w:ascii="Arial" w:cs="Arial" w:eastAsia="Arial" w:hAnsi="Arial"/>
          <w:b/>
          <w:bCs/>
          <w:sz w:val="22"/>
          <w:szCs w:val="22"/>
        </w:rPr>
        <w:t xml:space="preserve">ABCL688: </w:t>
      </w:r>
      <w:r>
        <w:rPr>
          <w:rFonts w:ascii="Arial" w:cs="Arial" w:eastAsia="Arial" w:hAnsi="Arial"/>
          <w:sz w:val="22"/>
          <w:szCs w:val="22"/>
        </w:rPr>
        <w:t xml:space="preserve">Targeting a multipass complex membrane protein in autoimmunity (IND-enabling, undisclosed indication)</w:t>
      </w:r>
    </w:p>
    <w:p>
      <w:pPr>
        <w:spacing w:after="100"/>
      </w:pPr>
      <w:r>
        <w:rPr>
          <w:rFonts w:ascii="Arial" w:cs="Arial" w:eastAsia="Arial" w:hAnsi="Arial"/>
          <w:b/>
          <w:bCs/>
          <w:sz w:val="22"/>
          <w:szCs w:val="22"/>
        </w:rPr>
        <w:t xml:space="preserve">ABCL386: </w:t>
      </w:r>
      <w:r>
        <w:rPr>
          <w:rFonts w:ascii="Arial" w:cs="Arial" w:eastAsia="Arial" w:hAnsi="Arial"/>
          <w:sz w:val="22"/>
          <w:szCs w:val="22"/>
        </w:rPr>
        <w:t xml:space="preserve">Oncology program (IND-enabling, undisclosed indication)</w:t>
      </w:r>
    </w:p>
    <w:p>
      <w:pPr>
        <w:pStyle w:val="Heading2"/>
        <w:spacing w:after="150" w:before="300"/>
      </w:pPr>
      <w:r>
        <w:rPr>
          <w:rFonts w:ascii="Arial" w:cs="Arial" w:eastAsia="Arial" w:hAnsi="Arial"/>
          <w:b/>
          <w:bCs/>
        </w:rPr>
        <w:t xml:space="preserve">Science Score Rationale</w:t>
      </w:r>
    </w:p>
    <w:p>
      <w:pPr>
        <w:spacing w:after="120"/>
      </w:pPr>
      <w:r>
        <w:rPr>
          <w:rFonts w:ascii="Arial" w:cs="Arial" w:eastAsia="Arial" w:hAnsi="Arial"/>
          <w:sz w:val="22"/>
          <w:szCs w:val="22"/>
        </w:rPr>
        <w:t xml:space="preserve">Score: 3.0 / 5. The platform technology is genuinely strong and externally validated through 104 partner programs. However, internal pipeline programs are early-stage with no clinical efficacy data yet. Both lead indications have validated targets BUT face established or advancing competitors. ABCL635 in VMS is a follower to an approved oral drug (fezolinetant). ABCL575 in AD enters a crowded OX40L field. The antibody-for-a-small-molecule-indication question on ABCL635 is a meaningful translational risk. Red flag per filter: “Platform story with weak lead-asset economics” applies partially — the platform is strong, but the lead assets face headwinds.</w:t>
      </w:r>
    </w:p>
    <w:p>
      <w:pPr>
        <w:pStyle w:val="Heading1"/>
        <w:spacing w:after="150" w:before="300"/>
      </w:pPr>
      <w:r>
        <w:rPr>
          <w:rFonts w:ascii="Arial" w:cs="Arial" w:eastAsia="Arial" w:hAnsi="Arial"/>
          <w:b/>
          <w:bCs/>
        </w:rPr>
        <w:t xml:space="preserve">Layer 2 — Commercial (Score: 2.5 / 5)</w:t>
      </w:r>
    </w:p>
    <w:p>
      <w:pPr>
        <w:spacing w:after="120"/>
      </w:pPr>
      <w:r>
        <w:rPr>
          <w:rFonts w:ascii="Arial" w:cs="Arial" w:eastAsia="Arial" w:hAnsi="Arial"/>
          <w:sz w:val="22"/>
          <w:szCs w:val="22"/>
        </w:rPr>
        <w:t xml:space="preserve">Question: If it works, will people pay for it — and how much?</w:t>
      </w:r>
    </w:p>
    <w:p>
      <w:pPr>
        <w:pStyle w:val="Heading2"/>
        <w:spacing w:after="150" w:before="300"/>
      </w:pPr>
      <w:r>
        <w:rPr>
          <w:rFonts w:ascii="Arial" w:cs="Arial" w:eastAsia="Arial" w:hAnsi="Arial"/>
          <w:b/>
          <w:bCs/>
        </w:rPr>
        <w:t xml:space="preserve">Dual Revenue Model</w:t>
      </w:r>
    </w:p>
    <w:p>
      <w:pPr>
        <w:spacing w:after="120"/>
      </w:pPr>
      <w:r>
        <w:rPr>
          <w:rFonts w:ascii="Arial" w:cs="Arial" w:eastAsia="Arial" w:hAnsi="Arial"/>
          <w:sz w:val="22"/>
          <w:szCs w:val="22"/>
        </w:rPr>
        <w:t xml:space="preserve">AbCellera has two revenue engines:</w:t>
      </w:r>
    </w:p>
    <w:p>
      <w:pPr>
        <w:spacing w:after="100"/>
      </w:pPr>
      <w:r>
        <w:rPr>
          <w:rFonts w:ascii="Arial" w:cs="Arial" w:eastAsia="Arial" w:hAnsi="Arial"/>
          <w:b/>
          <w:bCs/>
          <w:sz w:val="22"/>
          <w:szCs w:val="22"/>
        </w:rPr>
        <w:t xml:space="preserve">1. Partnership/Platform Revenue: </w:t>
      </w:r>
      <w:r>
        <w:rPr>
          <w:rFonts w:ascii="Arial" w:cs="Arial" w:eastAsia="Arial" w:hAnsi="Arial"/>
          <w:sz w:val="22"/>
          <w:szCs w:val="22"/>
        </w:rPr>
        <w:t xml:space="preserve">Discovery fees + milestone payments + low-to-mid single-digit royalties on 104 partner programs (19 in clinic). This is long-duration but modest near-term. Core revenue (ex-litigation) was ~$30M in 2025 — flat year-over-year despite growing partner programs.</w:t>
      </w:r>
    </w:p>
    <w:p>
      <w:pPr>
        <w:spacing w:after="100"/>
      </w:pPr>
      <w:r>
        <w:rPr>
          <w:rFonts w:ascii="Arial" w:cs="Arial" w:eastAsia="Arial" w:hAnsi="Arial"/>
          <w:b/>
          <w:bCs/>
          <w:sz w:val="22"/>
          <w:szCs w:val="22"/>
        </w:rPr>
        <w:t xml:space="preserve">2. Internal Pipeline Revenue (Future): </w:t>
      </w:r>
      <w:r>
        <w:rPr>
          <w:rFonts w:ascii="Arial" w:cs="Arial" w:eastAsia="Arial" w:hAnsi="Arial"/>
          <w:sz w:val="22"/>
          <w:szCs w:val="22"/>
        </w:rPr>
        <w:t xml:space="preserve">If ABCL635 or ABCL575 succeed, AbCellera would capture full drug economics. But this is years away (earliest approval scenario: ~2029-2030).</w:t>
      </w:r>
    </w:p>
    <w:p>
      <w:pPr>
        <w:pStyle w:val="Heading2"/>
        <w:spacing w:after="150" w:before="300"/>
      </w:pPr>
      <w:r>
        <w:rPr>
          <w:rFonts w:ascii="Arial" w:cs="Arial" w:eastAsia="Arial" w:hAnsi="Arial"/>
          <w:b/>
          <w:bCs/>
        </w:rPr>
        <w:t xml:space="preserve">ABCL635 Commercial Opportunity (VMS)</w:t>
      </w:r>
    </w:p>
    <w:p>
      <w:pPr>
        <w:spacing w:after="120"/>
      </w:pPr>
      <w:r>
        <w:rPr>
          <w:rFonts w:ascii="Arial" w:cs="Arial" w:eastAsia="Arial" w:hAnsi="Arial"/>
          <w:sz w:val="22"/>
          <w:szCs w:val="22"/>
        </w:rPr>
        <w:t xml:space="preserve">The menopause/VMS market is large and validated. Fezolinetant (Veozah) provides a pricing benchmark. The global menopause treatment market is projected to grow significantly through 2030. Non-hormonal options serve a clear unmet need for women who cannot or prefer not to use hormone therapy. However, ABCL635 as an injectable faces adherence/convenience friction vs. oral fezolinetant. Willingness-to-pay for a non-oral option in VMS is unproven. If differentiation is purely on dosing frequency (e.g., monthly injection vs. daily pill), the commercial story depends on how much patients value fewer administrations vs. the simplicity of a pill.</w:t>
      </w:r>
    </w:p>
    <w:p>
      <w:pPr>
        <w:pStyle w:val="Heading2"/>
        <w:spacing w:after="150" w:before="300"/>
      </w:pPr>
      <w:r>
        <w:rPr>
          <w:rFonts w:ascii="Arial" w:cs="Arial" w:eastAsia="Arial" w:hAnsi="Arial"/>
          <w:b/>
          <w:bCs/>
        </w:rPr>
        <w:t xml:space="preserve">ABCL575 Commercial Opportunity (AD)</w:t>
      </w:r>
    </w:p>
    <w:p>
      <w:pPr>
        <w:spacing w:after="120"/>
      </w:pPr>
      <w:r>
        <w:rPr>
          <w:rFonts w:ascii="Arial" w:cs="Arial" w:eastAsia="Arial" w:hAnsi="Arial"/>
          <w:sz w:val="22"/>
          <w:szCs w:val="22"/>
        </w:rPr>
        <w:t xml:space="preserve">The atopic dermatitis biologics market is large (~$15B+ globally) with blockbusters like Dupixent setting the benchmark. OX40L inhibitors target a different mechanism and could serve Dupixent-inadequate responders. But ABCL575 is very early, far behind amlitelimab and rocatinlimab, and the competitive dynamics make standalone commercial value speculative at this stage.</w:t>
      </w:r>
    </w:p>
    <w:p>
      <w:pPr>
        <w:pStyle w:val="Heading2"/>
        <w:spacing w:after="150" w:before="300"/>
      </w:pPr>
      <w:r>
        <w:rPr>
          <w:rFonts w:ascii="Arial" w:cs="Arial" w:eastAsia="Arial" w:hAnsi="Arial"/>
          <w:b/>
          <w:bCs/>
        </w:rPr>
        <w:t xml:space="preserve">Partnership Royalties</w:t>
      </w:r>
    </w:p>
    <w:p>
      <w:pPr>
        <w:spacing w:after="120"/>
      </w:pPr>
      <w:r>
        <w:rPr>
          <w:rFonts w:ascii="Arial" w:cs="Arial" w:eastAsia="Arial" w:hAnsi="Arial"/>
          <w:sz w:val="22"/>
          <w:szCs w:val="22"/>
        </w:rPr>
        <w:t xml:space="preserve">The royalty portfolio across 104 partner programs represents a diversified, long-tail revenue stream. With 19 molecules in the clinic, the probability of at least some reaching market is reasonable. However, low-to-mid single-digit royalties on antibodies discovered for partners yield modest revenue per program unless a blockbuster emerges. This is a “many shots on goal” strategy with inherently uncertain per-shot economics.</w:t>
      </w:r>
    </w:p>
    <w:p>
      <w:pPr>
        <w:pStyle w:val="Heading2"/>
        <w:spacing w:after="150" w:before="300"/>
      </w:pPr>
      <w:r>
        <w:rPr>
          <w:rFonts w:ascii="Arial" w:cs="Arial" w:eastAsia="Arial" w:hAnsi="Arial"/>
          <w:b/>
          <w:bCs/>
        </w:rPr>
        <w:t xml:space="preserve">Bruker Patent Settlement</w:t>
      </w:r>
    </w:p>
    <w:p>
      <w:pPr>
        <w:spacing w:after="120"/>
      </w:pPr>
      <w:r>
        <w:rPr>
          <w:rFonts w:ascii="Arial" w:cs="Arial" w:eastAsia="Arial" w:hAnsi="Arial"/>
          <w:sz w:val="22"/>
          <w:szCs w:val="22"/>
        </w:rPr>
        <w:t xml:space="preserve">The December 2025 settlement with Bruker ($36M upfront + ongoing royalties on Beacon platform products) provides a recurring IP licensing revenue stream. This validates AbCellera’s IP but is ancillary to the core thesis.</w:t>
      </w:r>
    </w:p>
    <w:p>
      <w:pPr>
        <w:pStyle w:val="Heading2"/>
        <w:spacing w:after="150" w:before="300"/>
      </w:pPr>
      <w:r>
        <w:rPr>
          <w:rFonts w:ascii="Arial" w:cs="Arial" w:eastAsia="Arial" w:hAnsi="Arial"/>
          <w:b/>
          <w:bCs/>
        </w:rPr>
        <w:t xml:space="preserve">Commercial Score Rationale</w:t>
      </w:r>
    </w:p>
    <w:p>
      <w:pPr>
        <w:spacing w:after="120"/>
      </w:pPr>
      <w:r>
        <w:rPr>
          <w:rFonts w:ascii="Arial" w:cs="Arial" w:eastAsia="Arial" w:hAnsi="Arial"/>
          <w:sz w:val="22"/>
          <w:szCs w:val="22"/>
        </w:rPr>
        <w:t xml:space="preserve">Score: 2.5 / 5. Core platform revenue is flat at ~$30M despite 104 programs. The partnership royalty model is diversified but low-margin and long-duration. The internal pipeline commercial story is entirely prospective with meaningful friction (injectable vs. oral for VMS). Total 2025 revenue of $75M was inflated by a one-time $36M litigation settlement. The company is pre-revenue on its own drugs with earliest possible approval ~2029-2030. Per the filter: “plausible but with friction” fits.</w:t>
      </w:r>
    </w:p>
    <w:p>
      <w:pPr>
        <w:pStyle w:val="Heading1"/>
        <w:spacing w:after="150" w:before="300"/>
      </w:pPr>
      <w:r>
        <w:rPr>
          <w:rFonts w:ascii="Arial" w:cs="Arial" w:eastAsia="Arial" w:hAnsi="Arial"/>
          <w:b/>
          <w:bCs/>
        </w:rPr>
        <w:t xml:space="preserve">Layer 3 — Competitive (Score: 3.0 / 5)</w:t>
      </w:r>
    </w:p>
    <w:p>
      <w:pPr>
        <w:spacing w:after="120"/>
      </w:pPr>
      <w:r>
        <w:rPr>
          <w:rFonts w:ascii="Arial" w:cs="Arial" w:eastAsia="Arial" w:hAnsi="Arial"/>
          <w:sz w:val="22"/>
          <w:szCs w:val="22"/>
        </w:rPr>
        <w:t xml:space="preserve">Question: Can this company win against current and incoming rivals?</w:t>
      </w:r>
    </w:p>
    <w:p>
      <w:pPr>
        <w:pStyle w:val="Heading2"/>
        <w:spacing w:after="150" w:before="300"/>
      </w:pPr>
      <w:r>
        <w:rPr>
          <w:rFonts w:ascii="Arial" w:cs="Arial" w:eastAsia="Arial" w:hAnsi="Arial"/>
          <w:b/>
          <w:bCs/>
        </w:rPr>
        <w:t xml:space="preserve">Platform Competition</w:t>
      </w:r>
    </w:p>
    <w:p>
      <w:pPr>
        <w:spacing w:after="120"/>
      </w:pPr>
      <w:r>
        <w:rPr>
          <w:rFonts w:ascii="Arial" w:cs="Arial" w:eastAsia="Arial" w:hAnsi="Arial"/>
          <w:sz w:val="22"/>
          <w:szCs w:val="22"/>
        </w:rPr>
        <w:t xml:space="preserve">In antibody discovery platforms, AbCellera is a leader but not without competition. Key rivals include Twist Bioscience (acquired Abveris), Absci (generative AI-designed antibodies, partnered with Twist), and traditional CROs/CDMOs offering antibody discovery services. AbCellera’s moat rests on its integrated full-stack approach (from target to clinic), proprietary microfluidics + AI/ML screening at scale, Trianni Mouse® IP, and a 124,000 sqft GMP facility. The 104 partner programs provide a significant data flywheel advantage — more programs means more data, means better AI models, means better antibodies. This is structurally similar to Palantir’s data network effect.</w:t>
      </w:r>
    </w:p>
    <w:p>
      <w:pPr>
        <w:pStyle w:val="Heading2"/>
        <w:spacing w:after="150" w:before="300"/>
      </w:pPr>
      <w:r>
        <w:rPr>
          <w:rFonts w:ascii="Arial" w:cs="Arial" w:eastAsia="Arial" w:hAnsi="Arial"/>
          <w:b/>
          <w:bCs/>
        </w:rPr>
        <w:t xml:space="preserve">ABCL635 Competition (VMS)</w:t>
      </w:r>
    </w:p>
    <w:p>
      <w:pPr>
        <w:spacing w:after="100"/>
      </w:pPr>
      <w:r>
        <w:rPr>
          <w:rFonts w:ascii="Arial" w:cs="Arial" w:eastAsia="Arial" w:hAnsi="Arial"/>
          <w:b/>
          <w:bCs/>
          <w:sz w:val="22"/>
          <w:szCs w:val="22"/>
        </w:rPr>
        <w:t xml:space="preserve">Fezolinetant (Veozah) — Astellas: </w:t>
      </w:r>
      <w:r>
        <w:rPr>
          <w:rFonts w:ascii="Arial" w:cs="Arial" w:eastAsia="Arial" w:hAnsi="Arial"/>
          <w:sz w:val="22"/>
          <w:szCs w:val="22"/>
        </w:rPr>
        <w:t xml:space="preserve">FDA-approved May 2023. Oral, daily dosing. 60-80% VMS reduction. First-mover with established efficacy/safety data. ABCL635 must demonstrate clear superiority or differentiation.</w:t>
      </w:r>
    </w:p>
    <w:p>
      <w:pPr>
        <w:spacing w:after="100"/>
      </w:pPr>
      <w:r>
        <w:rPr>
          <w:rFonts w:ascii="Arial" w:cs="Arial" w:eastAsia="Arial" w:hAnsi="Arial"/>
          <w:b/>
          <w:bCs/>
          <w:sz w:val="22"/>
          <w:szCs w:val="22"/>
        </w:rPr>
        <w:t xml:space="preserve">Elinzanetant — Bayer: </w:t>
      </w:r>
      <w:r>
        <w:rPr>
          <w:rFonts w:ascii="Arial" w:cs="Arial" w:eastAsia="Arial" w:hAnsi="Arial"/>
          <w:sz w:val="22"/>
          <w:szCs w:val="22"/>
        </w:rPr>
        <w:t xml:space="preserve">Dual NK1/NK3R antagonist, approved in UK (MHRA), pending FDA. Oral. Broader mechanism hitting both NK1 and NK3 receptors.</w:t>
      </w:r>
    </w:p>
    <w:p>
      <w:pPr>
        <w:spacing w:after="100"/>
      </w:pPr>
      <w:r>
        <w:rPr>
          <w:rFonts w:ascii="Arial" w:cs="Arial" w:eastAsia="Arial" w:hAnsi="Arial"/>
          <w:b/>
          <w:bCs/>
          <w:sz w:val="22"/>
          <w:szCs w:val="22"/>
        </w:rPr>
        <w:t xml:space="preserve">Thermella — Bonafide Health: </w:t>
      </w:r>
      <w:r>
        <w:rPr>
          <w:rFonts w:ascii="Arial" w:cs="Arial" w:eastAsia="Arial" w:hAnsi="Arial"/>
          <w:sz w:val="22"/>
          <w:szCs w:val="22"/>
        </w:rPr>
        <w:t xml:space="preserve">OTC NK3R antagonist launched September 2024. Prescription-free, hormone-free. Different positioning.</w:t>
      </w:r>
    </w:p>
    <w:p>
      <w:pPr>
        <w:spacing w:after="120"/>
      </w:pPr>
      <w:r>
        <w:rPr>
          <w:rFonts w:ascii="Arial" w:cs="Arial" w:eastAsia="Arial" w:hAnsi="Arial"/>
          <w:sz w:val="22"/>
          <w:szCs w:val="22"/>
        </w:rPr>
        <w:t xml:space="preserve">ABCL635 enters as a later entrant against established oral competitors. The antibody modality could offer differentiated dosing (monthly vs. daily), but this is unproven and the convenience calculus favors oral dosing for most patients.</w:t>
      </w:r>
    </w:p>
    <w:p>
      <w:pPr>
        <w:pStyle w:val="Heading2"/>
        <w:spacing w:after="150" w:before="300"/>
      </w:pPr>
      <w:r>
        <w:rPr>
          <w:rFonts w:ascii="Arial" w:cs="Arial" w:eastAsia="Arial" w:hAnsi="Arial"/>
          <w:b/>
          <w:bCs/>
        </w:rPr>
        <w:t xml:space="preserve">ABCL575 Competition (AD)</w:t>
      </w:r>
    </w:p>
    <w:p>
      <w:pPr>
        <w:spacing w:after="100"/>
      </w:pPr>
      <w:r>
        <w:rPr>
          <w:rFonts w:ascii="Arial" w:cs="Arial" w:eastAsia="Arial" w:hAnsi="Arial"/>
          <w:b/>
          <w:bCs/>
          <w:sz w:val="22"/>
          <w:szCs w:val="22"/>
        </w:rPr>
        <w:t xml:space="preserve">Amlitelimab: </w:t>
      </w:r>
      <w:r>
        <w:rPr>
          <w:rFonts w:ascii="Arial" w:cs="Arial" w:eastAsia="Arial" w:hAnsi="Arial"/>
          <w:sz w:val="22"/>
          <w:szCs w:val="22"/>
        </w:rPr>
        <w:t xml:space="preserve">Phase 2b positive, advancing. Anti-OX40L. Ahead by ~2-3 years.</w:t>
      </w:r>
    </w:p>
    <w:p>
      <w:pPr>
        <w:spacing w:after="100"/>
      </w:pPr>
      <w:r>
        <w:rPr>
          <w:rFonts w:ascii="Arial" w:cs="Arial" w:eastAsia="Arial" w:hAnsi="Arial"/>
          <w:b/>
          <w:bCs/>
          <w:sz w:val="22"/>
          <w:szCs w:val="22"/>
        </w:rPr>
        <w:t xml:space="preserve">Rocatinlimab: </w:t>
      </w:r>
      <w:r>
        <w:rPr>
          <w:rFonts w:ascii="Arial" w:cs="Arial" w:eastAsia="Arial" w:hAnsi="Arial"/>
          <w:sz w:val="22"/>
          <w:szCs w:val="22"/>
        </w:rPr>
        <w:t xml:space="preserve">Multiple Phase 3 trials. Anti-OX40. Materially ahead.</w:t>
      </w:r>
    </w:p>
    <w:p>
      <w:pPr>
        <w:spacing w:after="100"/>
      </w:pPr>
      <w:r>
        <w:rPr>
          <w:rFonts w:ascii="Arial" w:cs="Arial" w:eastAsia="Arial" w:hAnsi="Arial"/>
          <w:b/>
          <w:bCs/>
          <w:sz w:val="22"/>
          <w:szCs w:val="22"/>
        </w:rPr>
        <w:t xml:space="preserve">Next-gen agents: </w:t>
      </w:r>
      <w:r>
        <w:rPr>
          <w:rFonts w:ascii="Arial" w:cs="Arial" w:eastAsia="Arial" w:hAnsi="Arial"/>
          <w:sz w:val="22"/>
          <w:szCs w:val="22"/>
        </w:rPr>
        <w:t xml:space="preserve">IMG-007, STAR-0310, APG990, APG279 — all in development with extended half-lives and improved profiles.</w:t>
      </w:r>
    </w:p>
    <w:p>
      <w:pPr>
        <w:spacing w:after="120"/>
      </w:pPr>
      <w:r>
        <w:rPr>
          <w:rFonts w:ascii="Arial" w:cs="Arial" w:eastAsia="Arial" w:hAnsi="Arial"/>
          <w:sz w:val="22"/>
          <w:szCs w:val="22"/>
        </w:rPr>
        <w:t xml:space="preserve">ABCL575 is a clear follower in a competitive field with no demonstrated edge yet.</w:t>
      </w:r>
    </w:p>
    <w:p>
      <w:pPr>
        <w:pStyle w:val="Heading2"/>
        <w:spacing w:after="150" w:before="300"/>
      </w:pPr>
      <w:r>
        <w:rPr>
          <w:rFonts w:ascii="Arial" w:cs="Arial" w:eastAsia="Arial" w:hAnsi="Arial"/>
          <w:b/>
          <w:bCs/>
        </w:rPr>
        <w:t xml:space="preserve">Competitive Score Rationale</w:t>
      </w:r>
    </w:p>
    <w:p>
      <w:pPr>
        <w:spacing w:after="120"/>
      </w:pPr>
      <w:r>
        <w:rPr>
          <w:rFonts w:ascii="Arial" w:cs="Arial" w:eastAsia="Arial" w:hAnsi="Arial"/>
          <w:sz w:val="22"/>
          <w:szCs w:val="22"/>
        </w:rPr>
        <w:t xml:space="preserve">Score: 3.0 / 5. AbCellera’s platform competitive position is strong — deep IP, data flywheel, integrated capabilities. The Trianni Mouse and microfluidics patents provide meaningful defensibility. However, the internal pipeline programs are followers in their respective indications. ABCL635 faces approved oral competitors; ABCL575 is years behind in AD. The platform moat is real; the pipeline competitive edge is unproven. Per the filter: “partial edge” — strong on platform, weak on pipeline positioning.</w:t>
      </w:r>
    </w:p>
    <w:p>
      <w:r>
        <w:br w:type="page"/>
      </w:r>
    </w:p>
    <w:p>
      <w:pPr>
        <w:pStyle w:val="Heading1"/>
        <w:spacing w:after="150" w:before="300"/>
      </w:pPr>
      <w:r>
        <w:rPr>
          <w:rFonts w:ascii="Arial" w:cs="Arial" w:eastAsia="Arial" w:hAnsi="Arial"/>
          <w:b/>
          <w:bCs/>
        </w:rPr>
        <w:t xml:space="preserve">+1 Enablers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ENABLER</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CMC / Manufacturing</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1E8449"/>
                <w:sz w:val="20"/>
                <w:szCs w:val="20"/>
              </w:rPr>
              <w:t xml:space="preserve">PASS</w:t>
            </w:r>
          </w:p>
        </w:tc>
        <w:tc>
          <w:tcPr>
            <w:tcW w:type="dxa" w:w="2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Regulatory / Trial Design</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1E8449"/>
                <w:sz w:val="20"/>
                <w:szCs w:val="20"/>
              </w:rPr>
              <w:t xml:space="preserve">PASS</w:t>
            </w:r>
          </w:p>
        </w:tc>
        <w:tc>
          <w:tcPr>
            <w:tcW w:type="dxa" w:w="2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IP / Freedom-to-Operate</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1E8449"/>
                <w:sz w:val="20"/>
                <w:szCs w:val="20"/>
              </w:rPr>
              <w:t xml:space="preserve">PASS</w:t>
            </w:r>
          </w:p>
        </w:tc>
        <w:tc>
          <w:tcPr>
            <w:tcW w:type="dxa" w:w="2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Financing Runway</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color w:val="1E8449"/>
                <w:sz w:val="20"/>
                <w:szCs w:val="20"/>
              </w:rPr>
              <w:t xml:space="preserve">PASS</w:t>
            </w:r>
          </w:p>
        </w:tc>
        <w:tc>
          <w:tcPr>
            <w:tcW w:type="dxa" w:w="23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sz w:val="20"/>
                <w:szCs w:val="20"/>
              </w:rPr>
              <w:t xml:space="preserve"/>
            </w:r>
          </w:p>
        </w:tc>
      </w:tr>
    </w:tbl>
    <w:p>
      <w:pPr>
        <w:spacing w:before="200"/>
      </w:pPr>
    </w:p>
    <w:p>
      <w:pPr>
        <w:pStyle w:val="Heading2"/>
        <w:spacing w:after="150" w:before="300"/>
      </w:pPr>
      <w:r>
        <w:rPr>
          <w:rFonts w:ascii="Arial" w:cs="Arial" w:eastAsia="Arial" w:hAnsi="Arial"/>
          <w:b/>
          <w:bCs/>
        </w:rPr>
        <w:t xml:space="preserve">Gate Details</w:t>
      </w:r>
    </w:p>
    <w:p>
      <w:pPr>
        <w:spacing w:after="100"/>
      </w:pPr>
      <w:r>
        <w:rPr>
          <w:rFonts w:ascii="Arial" w:cs="Arial" w:eastAsia="Arial" w:hAnsi="Arial"/>
          <w:b/>
          <w:bCs/>
          <w:sz w:val="22"/>
          <w:szCs w:val="22"/>
        </w:rPr>
        <w:t xml:space="preserve">CMC (PASS): </w:t>
      </w:r>
      <w:r>
        <w:rPr>
          <w:rFonts w:ascii="Arial" w:cs="Arial" w:eastAsia="Arial" w:hAnsi="Arial"/>
          <w:sz w:val="22"/>
          <w:szCs w:val="22"/>
        </w:rPr>
        <w:t xml:space="preserve">AbCellera has a 124,000 sqft GMP manufacturing facility in Vancouver, operational since 2024, funded in part by a $125.6M Canadian government grant. Capability for GMP cell banking and drug substance production up to 2,000L bioreactors. Appropriate for current phase of development.</w:t>
      </w:r>
    </w:p>
    <w:p>
      <w:pPr>
        <w:spacing w:after="100"/>
      </w:pPr>
      <w:r>
        <w:rPr>
          <w:rFonts w:ascii="Arial" w:cs="Arial" w:eastAsia="Arial" w:hAnsi="Arial"/>
          <w:b/>
          <w:bCs/>
          <w:sz w:val="22"/>
          <w:szCs w:val="22"/>
        </w:rPr>
        <w:t xml:space="preserve">Regulatory (PASS): </w:t>
      </w:r>
      <w:r>
        <w:rPr>
          <w:rFonts w:ascii="Arial" w:cs="Arial" w:eastAsia="Arial" w:hAnsi="Arial"/>
          <w:sz w:val="22"/>
          <w:szCs w:val="22"/>
        </w:rPr>
        <w:t xml:space="preserve">ABCL635 Phase 1/2 trial has clear primary endpoints (VMS frequency/severity reduction), adequate powering (80 patients for Phase 2), randomized double-blind placebo-controlled design, and Health Canada authorization obtained. Standard regulatory pathway.</w:t>
      </w:r>
    </w:p>
    <w:p>
      <w:pPr>
        <w:spacing w:after="100"/>
      </w:pPr>
      <w:r>
        <w:rPr>
          <w:rFonts w:ascii="Arial" w:cs="Arial" w:eastAsia="Arial" w:hAnsi="Arial"/>
          <w:b/>
          <w:bCs/>
          <w:sz w:val="22"/>
          <w:szCs w:val="22"/>
        </w:rPr>
        <w:t xml:space="preserve">IP/FTO (PASS): </w:t>
      </w:r>
      <w:r>
        <w:rPr>
          <w:rFonts w:ascii="Arial" w:cs="Arial" w:eastAsia="Arial" w:hAnsi="Arial"/>
          <w:sz w:val="22"/>
          <w:szCs w:val="22"/>
        </w:rPr>
        <w:t xml:space="preserve">Foundational patents on microfluidics-based antibody discovery, Trianni Mouse® technology patent (US 10,881,084), and validated IP through successful Bruker enforcement ($36M settlement + royalties). Portfolio provides protection through launch window.</w:t>
      </w:r>
    </w:p>
    <w:p>
      <w:pPr>
        <w:spacing w:after="100"/>
      </w:pPr>
      <w:r>
        <w:rPr>
          <w:rFonts w:ascii="Arial" w:cs="Arial" w:eastAsia="Arial" w:hAnsi="Arial"/>
          <w:b/>
          <w:bCs/>
          <w:sz w:val="22"/>
          <w:szCs w:val="22"/>
        </w:rPr>
        <w:t xml:space="preserve">Financing (PASS): </w:t>
      </w:r>
      <w:r>
        <w:rPr>
          <w:rFonts w:ascii="Arial" w:cs="Arial" w:eastAsia="Arial" w:hAnsi="Arial"/>
          <w:sz w:val="22"/>
          <w:szCs w:val="22"/>
        </w:rPr>
        <w:t xml:space="preserve">~$700M available liquidity ($561M cash/securities + $135M government funding). Management states “sufficient to fund well beyond three years of pipeline investments.” At current burn rate (~$146M net loss/year), this provides 3.5-4+ years of runway — well above the 18-24 month minimum.</w:t>
      </w:r>
    </w:p>
    <w:p>
      <w:pPr>
        <w:pStyle w:val="Heading1"/>
        <w:spacing w:after="150" w:before="300"/>
      </w:pPr>
      <w:r>
        <w:rPr>
          <w:rFonts w:ascii="Arial" w:cs="Arial" w:eastAsia="Arial" w:hAnsi="Arial"/>
          <w:b/>
          <w:bCs/>
        </w:rPr>
        <w:t xml:space="preserve">Composite Score &amp;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SCORE</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RATING</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Layer 1: Science (30%)</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0"/>
                <w:szCs w:val="20"/>
              </w:rPr>
              <w:t xml:space="preserve">3 / 5</w:t>
            </w:r>
          </w:p>
        </w:tc>
        <w:tc>
          <w:tcPr>
            <w:tcW w:type="dxa" w:w="23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sz w:val="20"/>
                <w:szCs w:val="20"/>
              </w:rPr>
              <w:t xml:space="preserve">Moderate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Layer 2: Commercial (25%)</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sz w:val="20"/>
                <w:szCs w:val="20"/>
              </w:rPr>
              <w:t xml:space="preserve">2.5 / 5</w:t>
            </w:r>
          </w:p>
        </w:tc>
        <w:tc>
          <w:tcPr>
            <w:tcW w:type="dxa" w:w="23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sz w:val="20"/>
                <w:szCs w:val="20"/>
              </w:rPr>
              <w:t xml:space="preserve">Weak</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Layer 3: Competitive (20%)</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0"/>
                <w:szCs w:val="20"/>
              </w:rPr>
              <w:t xml:space="preserve">3 / 5</w:t>
            </w:r>
          </w:p>
        </w:tc>
        <w:tc>
          <w:tcPr>
            <w:tcW w:type="dxa" w:w="23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sz w:val="20"/>
                <w:szCs w:val="20"/>
              </w:rPr>
              <w:t xml:space="preserve">Moderate</w:t>
            </w:r>
          </w:p>
        </w:tc>
      </w:tr>
    </w:tbl>
    <w:p>
      <w:pPr>
        <w:spacing w:before="200"/>
      </w:pPr>
    </w:p>
    <w:p>
      <w:pPr>
        <w:spacing w:after="120"/>
      </w:pPr>
      <w:r>
        <w:rPr>
          <w:rFonts w:ascii="Arial" w:cs="Arial" w:eastAsia="Arial" w:hAnsi="Arial"/>
          <w:sz w:val="22"/>
          <w:szCs w:val="22"/>
        </w:rPr>
        <w:t xml:space="preserve">Composite Score = (3.0 × 0.30) + (2.5 × 0.25) + (3.0 × 0.20) = 0.90 + 0.625 + 0.60 = 2.125 (weighted) → Normalized to comparable scale: ~2.8 / 5</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COMPOSITE SCORE</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VERDICT</w:t>
            </w:r>
          </w:p>
        </w:tc>
      </w:tr>
      <w:tr>
        <w:tc>
          <w:tcPr>
            <w:tcW w:type="dxa" w:w="4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8"/>
                <w:szCs w:val="28"/>
              </w:rPr>
              <w:t xml:space="preserve">~2.8 / 5.0</w:t>
            </w:r>
          </w:p>
        </w:tc>
        <w:tc>
          <w:tcPr>
            <w:tcW w:type="dxa" w:w="468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color w:val="D4AC0D"/>
                <w:sz w:val="28"/>
                <w:szCs w:val="28"/>
              </w:rPr>
              <w:t xml:space="preserve">WATCH</w:t>
            </w:r>
          </w:p>
          <w:p>
            <w:pPr>
              <w:spacing w:after="0"/>
            </w:pPr>
            <w:r>
              <w:rPr>
                <w:rFonts w:ascii="Arial" w:cs="Arial" w:eastAsia="Arial" w:hAnsi="Arial"/>
                <w:color w:val="7F8C8D"/>
                <w:sz w:val="18"/>
                <w:szCs w:val="18"/>
              </w:rPr>
              <w:t xml:space="preserve">All Gates PASS | Score &lt; 3.0</w:t>
            </w:r>
          </w:p>
        </w:tc>
      </w:tr>
    </w:tbl>
    <w:p>
      <w:pPr>
        <w:spacing w:before="200"/>
      </w:pPr>
    </w:p>
    <w:p>
      <w:pPr>
        <w:spacing w:after="120"/>
      </w:pPr>
      <w:r>
        <w:rPr>
          <w:rFonts w:ascii="Arial" w:cs="Arial" w:eastAsia="Arial" w:hAnsi="Arial"/>
          <w:sz w:val="22"/>
          <w:szCs w:val="22"/>
        </w:rPr>
        <w:t xml:space="preserve">Per filter decision rules: Composite &lt; 3.0 with all Gates passing = WATCH / NO-GO. Given the strong balance sheet, validated platform, and upcoming Q3 2026 ABCL635 data readout, the appropriate designation is WATCH with catalyst-dependent upgrade potential.</w:t>
      </w:r>
    </w:p>
    <w:p>
      <w:pPr>
        <w:pStyle w:val="Heading1"/>
        <w:spacing w:after="150" w:before="300"/>
      </w:pPr>
      <w:r>
        <w:rPr>
          <w:rFonts w:ascii="Arial" w:cs="Arial" w:eastAsia="Arial" w:hAnsi="Arial"/>
          <w:b/>
          <w:bCs/>
        </w:rPr>
        <w:t xml:space="preserve">The Plain-English Test</w:t>
      </w:r>
    </w:p>
    <w:p>
      <w:pPr>
        <w:spacing w:after="100"/>
      </w:pPr>
      <w:r>
        <w:rPr>
          <w:rFonts w:ascii="Arial" w:cs="Arial" w:eastAsia="Arial" w:hAnsi="Arial"/>
          <w:b/>
          <w:bCs/>
          <w:sz w:val="22"/>
          <w:szCs w:val="22"/>
        </w:rPr>
        <w:t xml:space="preserve">1. Why this should work (in the body): </w:t>
      </w:r>
      <w:r>
        <w:rPr>
          <w:rFonts w:ascii="Arial" w:cs="Arial" w:eastAsia="Arial" w:hAnsi="Arial"/>
          <w:sz w:val="22"/>
          <w:szCs w:val="22"/>
        </w:rPr>
        <w:t xml:space="preserve">AbCellera’s platform finds antibodies against hard-to-drug targets like GPCRs, and its lead drug ABCL635 targets the NK3R pathway, which is clinically proven to reduce hot flashes by 60-80% via fezolinetant. — MODERATE CONFIDENCE (validated pathway, but antibody format vs. oral is a question mark).</w:t>
      </w:r>
    </w:p>
    <w:p>
      <w:pPr>
        <w:spacing w:after="100"/>
      </w:pPr>
      <w:r>
        <w:rPr>
          <w:rFonts w:ascii="Arial" w:cs="Arial" w:eastAsia="Arial" w:hAnsi="Arial"/>
          <w:b/>
          <w:bCs/>
          <w:sz w:val="22"/>
          <w:szCs w:val="22"/>
        </w:rPr>
        <w:t xml:space="preserve">2. Why payers will pay (in the wallet): </w:t>
      </w:r>
      <w:r>
        <w:rPr>
          <w:rFonts w:ascii="Arial" w:cs="Arial" w:eastAsia="Arial" w:hAnsi="Arial"/>
          <w:sz w:val="22"/>
          <w:szCs w:val="22"/>
        </w:rPr>
        <w:t xml:space="preserve">Non-hormonal menopause treatment addresses a large unmet need, and an injectable with less frequent dosing could justify premium pricing for women who prefer fewer administrations. — SQUISHY (the oral-vs-injectable friction is real; willingness-to-pay for monthly injection over daily pill is unproven).</w:t>
      </w:r>
    </w:p>
    <w:p>
      <w:pPr>
        <w:spacing w:after="100"/>
      </w:pPr>
      <w:r>
        <w:rPr>
          <w:rFonts w:ascii="Arial" w:cs="Arial" w:eastAsia="Arial" w:hAnsi="Arial"/>
          <w:b/>
          <w:bCs/>
          <w:sz w:val="22"/>
          <w:szCs w:val="22"/>
        </w:rPr>
        <w:t xml:space="preserve">3. Why it beats rivals (in the market): </w:t>
      </w:r>
      <w:r>
        <w:rPr>
          <w:rFonts w:ascii="Arial" w:cs="Arial" w:eastAsia="Arial" w:hAnsi="Arial"/>
          <w:sz w:val="22"/>
          <w:szCs w:val="22"/>
        </w:rPr>
        <w:t xml:space="preserve">AbCellera’s platform moat is strong for the discovery business, but its lead drug enters a market with an already-approved oral competitor and additional entrants coming. — SQUISHY on pipeline, STRONG on platform.</w:t>
      </w:r>
    </w:p>
    <w:p>
      <w:pPr>
        <w:spacing w:after="120"/>
      </w:pPr>
      <w:r>
        <w:rPr>
          <w:rFonts w:ascii="Arial" w:cs="Arial" w:eastAsia="Arial" w:hAnsi="Arial"/>
          <w:sz w:val="22"/>
          <w:szCs w:val="22"/>
        </w:rPr>
        <w:t xml:space="preserve">Two of three sentences have squishy elements → consistent with WATCH designation.</w:t>
      </w:r>
    </w:p>
    <w:p>
      <w:r>
        <w:br w:type="page"/>
      </w:r>
    </w:p>
    <w:p>
      <w:pPr>
        <w:pStyle w:val="Heading1"/>
        <w:spacing w:after="150" w:before="300"/>
      </w:pPr>
      <w:r>
        <w:rPr>
          <w:rFonts w:ascii="Arial" w:cs="Arial" w:eastAsia="Arial" w:hAnsi="Arial"/>
          <w:b/>
          <w:bCs/>
        </w:rPr>
        <w:t xml:space="preserve">Is ABCL the Palantir of Biotech?</w:t>
      </w:r>
    </w:p>
    <w:p>
      <w:pPr>
        <w:spacing w:after="300"/>
        <w:jc w:val="center"/>
      </w:pPr>
      <w:r>
        <w:rPr>
          <w:rFonts w:ascii="Arial" w:cs="Arial" w:eastAsia="Arial" w:hAnsi="Arial"/>
          <w:b/>
          <w:bCs/>
          <w:color w:val="1B4F72"/>
          <w:sz w:val="32"/>
          <w:szCs w:val="32"/>
        </w:rPr>
        <w:t xml:space="preserve">ANSWER: QUALIFIED YES — with critical caveats</w:t>
      </w:r>
    </w:p>
    <w:p>
      <w:pPr>
        <w:pStyle w:val="Heading2"/>
        <w:spacing w:after="150" w:before="300"/>
      </w:pPr>
      <w:r>
        <w:rPr>
          <w:rFonts w:ascii="Arial" w:cs="Arial" w:eastAsia="Arial" w:hAnsi="Arial"/>
          <w:b/>
          <w:bCs/>
        </w:rPr>
        <w:t xml:space="preserve">The Case FOR (Structural Parallels)</w:t>
      </w:r>
    </w:p>
    <w:p>
      <w:pPr>
        <w:spacing w:after="100"/>
      </w:pPr>
      <w:r>
        <w:rPr>
          <w:rFonts w:ascii="Arial" w:cs="Arial" w:eastAsia="Arial" w:hAnsi="Arial"/>
          <w:b/>
          <w:bCs/>
          <w:sz w:val="22"/>
          <w:szCs w:val="22"/>
        </w:rPr>
        <w:t xml:space="preserve">1. Platform-as-Infrastructure Model: </w:t>
      </w:r>
      <w:r>
        <w:rPr>
          <w:rFonts w:ascii="Arial" w:cs="Arial" w:eastAsia="Arial" w:hAnsi="Arial"/>
          <w:sz w:val="22"/>
          <w:szCs w:val="22"/>
        </w:rPr>
        <w:t xml:space="preserve">Like Palantir built data integration infrastructure that government/enterprise clients use to solve their own problems, AbCellera built antibody discovery infrastructure that pharma companies use to find their own drugs. Both are “pick-and-shovel” plays on their respective industries.</w:t>
      </w:r>
    </w:p>
    <w:p>
      <w:pPr>
        <w:spacing w:after="100"/>
      </w:pPr>
      <w:r>
        <w:rPr>
          <w:rFonts w:ascii="Arial" w:cs="Arial" w:eastAsia="Arial" w:hAnsi="Arial"/>
          <w:b/>
          <w:bCs/>
          <w:sz w:val="22"/>
          <w:szCs w:val="22"/>
        </w:rPr>
        <w:t xml:space="preserve">2. Data Flywheel / Network Effects: </w:t>
      </w:r>
      <w:r>
        <w:rPr>
          <w:rFonts w:ascii="Arial" w:cs="Arial" w:eastAsia="Arial" w:hAnsi="Arial"/>
          <w:sz w:val="22"/>
          <w:szCs w:val="22"/>
        </w:rPr>
        <w:t xml:space="preserve">Palantir’s platform gets better with more data and more deployments. AbCellera’s platform gets better with every partner program — more B-cell data, more immune response data, better AI models. 104 programs create a compounding data advantage that is difficult for competitors to replicate. This is the strongest parallel.</w:t>
      </w:r>
    </w:p>
    <w:p>
      <w:pPr>
        <w:spacing w:after="100"/>
      </w:pPr>
      <w:r>
        <w:rPr>
          <w:rFonts w:ascii="Arial" w:cs="Arial" w:eastAsia="Arial" w:hAnsi="Arial"/>
          <w:b/>
          <w:bCs/>
          <w:sz w:val="22"/>
          <w:szCs w:val="22"/>
        </w:rPr>
        <w:t xml:space="preserve">3. High Switching Costs: </w:t>
      </w:r>
      <w:r>
        <w:rPr>
          <w:rFonts w:ascii="Arial" w:cs="Arial" w:eastAsia="Arial" w:hAnsi="Arial"/>
          <w:sz w:val="22"/>
          <w:szCs w:val="22"/>
        </w:rPr>
        <w:t xml:space="preserve">Both companies embed deeply into client workflows. Once pharma partners rely on AbCellera’s integrated stack (from screening to GMP manufacturing), switching costs are meaningful.</w:t>
      </w:r>
    </w:p>
    <w:p>
      <w:pPr>
        <w:spacing w:after="100"/>
      </w:pPr>
      <w:r>
        <w:rPr>
          <w:rFonts w:ascii="Arial" w:cs="Arial" w:eastAsia="Arial" w:hAnsi="Arial"/>
          <w:b/>
          <w:bCs/>
          <w:sz w:val="22"/>
          <w:szCs w:val="22"/>
        </w:rPr>
        <w:t xml:space="preserve">4. Long-Duration Revenue Model: </w:t>
      </w:r>
      <w:r>
        <w:rPr>
          <w:rFonts w:ascii="Arial" w:cs="Arial" w:eastAsia="Arial" w:hAnsi="Arial"/>
          <w:sz w:val="22"/>
          <w:szCs w:val="22"/>
        </w:rPr>
        <w:t xml:space="preserve">Palantir’s multi-year government contracts parallel AbCellera’s milestone + royalty streams that can generate revenue for 10-15+ years per program. Both have long revenue tails.</w:t>
      </w:r>
    </w:p>
    <w:p>
      <w:pPr>
        <w:spacing w:after="100"/>
      </w:pPr>
      <w:r>
        <w:rPr>
          <w:rFonts w:ascii="Arial" w:cs="Arial" w:eastAsia="Arial" w:hAnsi="Arial"/>
          <w:b/>
          <w:bCs/>
          <w:sz w:val="22"/>
          <w:szCs w:val="22"/>
        </w:rPr>
        <w:t xml:space="preserve">5. Founder-Led, Mission-Driven: </w:t>
      </w:r>
      <w:r>
        <w:rPr>
          <w:rFonts w:ascii="Arial" w:cs="Arial" w:eastAsia="Arial" w:hAnsi="Arial"/>
          <w:sz w:val="22"/>
          <w:szCs w:val="22"/>
        </w:rPr>
        <w:t xml:space="preserve">Both companies were founded by visionary technologists (Carl Hansen at AbCellera, Alex Karp at Palantir) who built differentiated technology and maintained strategic focus despite market skepticism.</w:t>
      </w:r>
    </w:p>
    <w:p>
      <w:pPr>
        <w:spacing w:after="100"/>
      </w:pPr>
      <w:r>
        <w:rPr>
          <w:rFonts w:ascii="Arial" w:cs="Arial" w:eastAsia="Arial" w:hAnsi="Arial"/>
          <w:b/>
          <w:bCs/>
          <w:sz w:val="22"/>
          <w:szCs w:val="22"/>
        </w:rPr>
        <w:t xml:space="preserve">6. Long Period of Losses Before Inflection: </w:t>
      </w:r>
      <w:r>
        <w:rPr>
          <w:rFonts w:ascii="Arial" w:cs="Arial" w:eastAsia="Arial" w:hAnsi="Arial"/>
          <w:sz w:val="22"/>
          <w:szCs w:val="22"/>
        </w:rPr>
        <w:t xml:space="preserve">Palantir was famously unprofitable for ~20 years before reaching profitability in 2023. AbCellera is in a similar pre-profitability phase (~$146M net loss in 2025) with the thesis that platform value will eventually compound.</w:t>
      </w:r>
    </w:p>
    <w:p>
      <w:pPr>
        <w:spacing w:after="100"/>
      </w:pPr>
      <w:r>
        <w:rPr>
          <w:rFonts w:ascii="Arial" w:cs="Arial" w:eastAsia="Arial" w:hAnsi="Arial"/>
          <w:b/>
          <w:bCs/>
          <w:sz w:val="22"/>
          <w:szCs w:val="22"/>
        </w:rPr>
        <w:t xml:space="preserve">7. Strategic Pivot to Direct Value Capture: </w:t>
      </w:r>
      <w:r>
        <w:rPr>
          <w:rFonts w:ascii="Arial" w:cs="Arial" w:eastAsia="Arial" w:hAnsi="Arial"/>
          <w:sz w:val="22"/>
          <w:szCs w:val="22"/>
        </w:rPr>
        <w:t xml:space="preserve">Palantir shifted from consulting-heavy deployments to self-serve software (AIP). AbCellera is shifting from pure-partnership model to developing its own drugs — both represent moves to capture more direct value from their platforms.</w:t>
      </w:r>
    </w:p>
    <w:p>
      <w:pPr>
        <w:pStyle w:val="Heading2"/>
        <w:spacing w:after="150" w:before="300"/>
      </w:pPr>
      <w:r>
        <w:rPr>
          <w:rFonts w:ascii="Arial" w:cs="Arial" w:eastAsia="Arial" w:hAnsi="Arial"/>
          <w:b/>
          <w:bCs/>
        </w:rPr>
        <w:t xml:space="preserve">The Case AGAINST (Critical Differences)</w:t>
      </w:r>
    </w:p>
    <w:p>
      <w:pPr>
        <w:spacing w:after="100"/>
      </w:pPr>
      <w:r>
        <w:rPr>
          <w:rFonts w:ascii="Arial" w:cs="Arial" w:eastAsia="Arial" w:hAnsi="Arial"/>
          <w:b/>
          <w:bCs/>
          <w:sz w:val="22"/>
          <w:szCs w:val="22"/>
        </w:rPr>
        <w:t xml:space="preserve">1. Binary Clinical Risk (Fatal Difference): </w:t>
      </w:r>
      <w:r>
        <w:rPr>
          <w:rFonts w:ascii="Arial" w:cs="Arial" w:eastAsia="Arial" w:hAnsi="Arial"/>
          <w:sz w:val="22"/>
          <w:szCs w:val="22"/>
        </w:rPr>
        <w:t xml:space="preserve">Palantir’s platform works — the question was always adoption/growth, not whether the technology functions. AbCellera’s internal pipeline faces binary Phase 2/3 clinical trial risk. A failed ABCL635 readout in Q3 2026 could destroy 30-50% of the equity value overnight. Palantir never had this kind of single-event binary risk.</w:t>
      </w:r>
    </w:p>
    <w:p>
      <w:pPr>
        <w:spacing w:after="100"/>
      </w:pPr>
      <w:r>
        <w:rPr>
          <w:rFonts w:ascii="Arial" w:cs="Arial" w:eastAsia="Arial" w:hAnsi="Arial"/>
          <w:b/>
          <w:bCs/>
          <w:sz w:val="22"/>
          <w:szCs w:val="22"/>
        </w:rPr>
        <w:t xml:space="preserve">2. Revenue Maturity Gap: </w:t>
      </w:r>
      <w:r>
        <w:rPr>
          <w:rFonts w:ascii="Arial" w:cs="Arial" w:eastAsia="Arial" w:hAnsi="Arial"/>
          <w:sz w:val="22"/>
          <w:szCs w:val="22"/>
        </w:rPr>
        <w:t xml:space="preserve">Palantir had $2.2B+ in revenue at its inflection point. AbCellera has ~$30M in core revenue. The gap is massive. AbCellera is far earlier in its revenue maturation cycle, which means more uncertainty and more dilution risk.</w:t>
      </w:r>
    </w:p>
    <w:p>
      <w:pPr>
        <w:spacing w:after="100"/>
      </w:pPr>
      <w:r>
        <w:rPr>
          <w:rFonts w:ascii="Arial" w:cs="Arial" w:eastAsia="Arial" w:hAnsi="Arial"/>
          <w:b/>
          <w:bCs/>
          <w:sz w:val="22"/>
          <w:szCs w:val="22"/>
        </w:rPr>
        <w:t xml:space="preserve">3. Regulatory Moat vs. Technology Moat: </w:t>
      </w:r>
      <w:r>
        <w:rPr>
          <w:rFonts w:ascii="Arial" w:cs="Arial" w:eastAsia="Arial" w:hAnsi="Arial"/>
          <w:sz w:val="22"/>
          <w:szCs w:val="22"/>
        </w:rPr>
        <w:t xml:space="preserve">Palantir’s moat includes security clearances and government relationships that are nearly impossible to replicate. AbCellera’s moat is technology/IP-based, which is strong but not as structurally durable. Patents expire. Technology can be replicated or leapfrogged (e.g., generative AI approaches from Absci).</w:t>
      </w:r>
    </w:p>
    <w:p>
      <w:pPr>
        <w:spacing w:after="100"/>
      </w:pPr>
      <w:r>
        <w:rPr>
          <w:rFonts w:ascii="Arial" w:cs="Arial" w:eastAsia="Arial" w:hAnsi="Arial"/>
          <w:b/>
          <w:bCs/>
          <w:sz w:val="22"/>
          <w:szCs w:val="22"/>
        </w:rPr>
        <w:t xml:space="preserve">4. Margin Structure: </w:t>
      </w:r>
      <w:r>
        <w:rPr>
          <w:rFonts w:ascii="Arial" w:cs="Arial" w:eastAsia="Arial" w:hAnsi="Arial"/>
          <w:sz w:val="22"/>
          <w:szCs w:val="22"/>
        </w:rPr>
        <w:t xml:space="preserve">Palantir is a software company with 80%+ gross margins at scale. AbCellera is a biotech with GMP manufacturing costs, clinical trial expenses, and drug development overhead. Even if the platform business has software-like margins, the pivot to internal drug development is capital-intensive.</w:t>
      </w:r>
    </w:p>
    <w:p>
      <w:pPr>
        <w:spacing w:after="100"/>
      </w:pPr>
      <w:r>
        <w:rPr>
          <w:rFonts w:ascii="Arial" w:cs="Arial" w:eastAsia="Arial" w:hAnsi="Arial"/>
          <w:b/>
          <w:bCs/>
          <w:sz w:val="22"/>
          <w:szCs w:val="22"/>
        </w:rPr>
        <w:t xml:space="preserve">5. Market Perception: </w:t>
      </w:r>
      <w:r>
        <w:rPr>
          <w:rFonts w:ascii="Arial" w:cs="Arial" w:eastAsia="Arial" w:hAnsi="Arial"/>
          <w:sz w:val="22"/>
          <w:szCs w:val="22"/>
        </w:rPr>
        <w:t xml:space="preserve">Palantir trades at ~60-100x revenue with a ~$250B+ market cap because the market sees it as an AI/software compounder. AbCellera trades at ~$1B market cap, valued more like a speculative clinical-stage biotech. The market is not pricing ABCL as a platform compounder — it’s pricing it as a biotech with clinical risk.</w:t>
      </w:r>
    </w:p>
    <w:p>
      <w:pPr>
        <w:spacing w:after="100"/>
      </w:pPr>
      <w:r>
        <w:rPr>
          <w:rFonts w:ascii="Arial" w:cs="Arial" w:eastAsia="Arial" w:hAnsi="Arial"/>
          <w:b/>
          <w:bCs/>
          <w:sz w:val="22"/>
          <w:szCs w:val="22"/>
        </w:rPr>
        <w:t xml:space="preserve">6. Optionality Is Theoretical: </w:t>
      </w:r>
      <w:r>
        <w:rPr>
          <w:rFonts w:ascii="Arial" w:cs="Arial" w:eastAsia="Arial" w:hAnsi="Arial"/>
          <w:sz w:val="22"/>
          <w:szCs w:val="22"/>
        </w:rPr>
        <w:t xml:space="preserve">Palantir’s commercial business proved the platform’s optionality. AbCellera’s optionality (internal pipeline, royalty portfolio, platform expansion) is mostly theoretical. The royalty portfolio has not generated meaningful revenue yet, and internal drugs are pre-efficacy.</w:t>
      </w:r>
    </w:p>
    <w:p>
      <w:pPr>
        <w:pStyle w:val="Heading2"/>
        <w:spacing w:after="150" w:before="300"/>
      </w:pPr>
      <w:r>
        <w:rPr>
          <w:rFonts w:ascii="Arial" w:cs="Arial" w:eastAsia="Arial" w:hAnsi="Arial"/>
          <w:b/>
          <w:bCs/>
        </w:rPr>
        <w:t xml:space="preserve">Bottom Line on the Palantir Comparison</w:t>
      </w:r>
    </w:p>
    <w:p>
      <w:pPr>
        <w:spacing w:after="120"/>
      </w:pPr>
      <w:r>
        <w:rPr>
          <w:rFonts w:ascii="Arial" w:cs="Arial" w:eastAsia="Arial" w:hAnsi="Arial"/>
          <w:sz w:val="22"/>
          <w:szCs w:val="22"/>
        </w:rPr>
        <w:t xml:space="preserve">The structural analogy holds at the platform level: both are technology infrastructure companies that enable their clients to do complex work better, both have data flywheel effects, and both are pivoting to capture more direct value. AbCellera IS the closest thing to a “Palantir model” in biotech.</w:t>
      </w:r>
    </w:p>
    <w:p>
      <w:pPr>
        <w:spacing w:after="120"/>
      </w:pPr>
      <w:r>
        <w:rPr>
          <w:rFonts w:ascii="Arial" w:cs="Arial" w:eastAsia="Arial" w:hAnsi="Arial"/>
          <w:sz w:val="22"/>
          <w:szCs w:val="22"/>
        </w:rPr>
        <w:t xml:space="preserve">BUT the comparison breaks down on execution maturity and risk profile. Palantir has proven its model works and reached profitability. AbCellera is still in the “promise” phase with unproven internal pipeline economics, binary clinical risk, and core platform revenue that is flat. The comparison is aspirational, not yet earned.</w:t>
      </w:r>
    </w:p>
    <w:p>
      <w:pPr>
        <w:spacing w:after="120"/>
      </w:pPr>
      <w:r>
        <w:rPr>
          <w:rFonts w:ascii="Arial" w:cs="Arial" w:eastAsia="Arial" w:hAnsi="Arial"/>
          <w:sz w:val="22"/>
          <w:szCs w:val="22"/>
        </w:rPr>
        <w:t xml:space="preserve">If ABCL635 Phase 2 data reads out positively in Q3 2026, and partnership royalties begin materializing from the 19 molecules in clinic, the “Palantir of biotech” thesis strengthens considerably. Without those catalysts, it remains a compelling platform with uncertain drug development execution.</w:t>
      </w:r>
    </w:p>
    <w:p>
      <w:pPr>
        <w:pStyle w:val="Heading1"/>
        <w:spacing w:after="150" w:before="300"/>
      </w:pPr>
      <w:r>
        <w:rPr>
          <w:rFonts w:ascii="Arial" w:cs="Arial" w:eastAsia="Arial" w:hAnsi="Arial"/>
          <w:b/>
          <w:bCs/>
        </w:rPr>
        <w:t xml:space="preserve">Near-Term Catalyst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CATALYST</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Q3 2026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ABCL635 Phase 2 readout (VMS efficacy)</w:t>
            </w:r>
          </w:p>
        </w:tc>
        <w:tc>
          <w:tcPr>
            <w:tcW w:type="dxa" w:w="25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pPr>
              <w:spacing w:after="0"/>
            </w:pPr>
            <w:r>
              <w:rPr>
                <w:rFonts w:ascii="Arial" w:cs="Arial" w:eastAsia="Arial" w:hAnsi="Arial"/>
                <w:b/>
                <w:bCs/>
                <w:sz w:val="20"/>
                <w:szCs w:val="20"/>
              </w:rPr>
              <w:t xml:space="preserve">HIGH — Binary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Mid-2026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ABCL575 Phase 1 data (AD safety/tolerability)</w:t>
            </w:r>
          </w:p>
        </w:tc>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0"/>
                <w:szCs w:val="20"/>
              </w:rPr>
              <w:t xml:space="preserve">MODERATE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2026-2027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ABCL688/ABCL386 IND filings</w:t>
            </w:r>
          </w:p>
        </w:tc>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0"/>
                <w:szCs w:val="20"/>
              </w:rPr>
              <w:t xml:space="preserve">LOW-MOD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Ongoing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Partner program milestones / royalty triggers from 19 clinical molecules</w:t>
            </w:r>
          </w:p>
        </w:tc>
        <w:tc>
          <w:tcPr>
            <w:tcW w:type="dxa" w:w="25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tcPr>
          <w:p>
            <w:pPr>
              <w:spacing w:after="0"/>
            </w:pPr>
            <w:r>
              <w:rPr>
                <w:rFonts w:ascii="Arial" w:cs="Arial" w:eastAsia="Arial" w:hAnsi="Arial"/>
                <w:b/>
                <w:bCs/>
                <w:sz w:val="20"/>
                <w:szCs w:val="20"/>
              </w:rPr>
              <w:t xml:space="preserve">MODERATE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20"/>
                <w:szCs w:val="20"/>
              </w:rPr>
              <w:t xml:space="preserve">Ongoing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Bruker royalty revenue recognition</w:t>
            </w:r>
          </w:p>
        </w:tc>
        <w:tc>
          <w:tcPr>
            <w:tcW w:type="dxa" w:w="25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pPr>
              <w:spacing w:after="0"/>
            </w:pPr>
            <w:r>
              <w:rPr>
                <w:rFonts w:ascii="Arial" w:cs="Arial" w:eastAsia="Arial" w:hAnsi="Arial"/>
                <w:b/>
                <w:bCs/>
                <w:sz w:val="20"/>
                <w:szCs w:val="20"/>
              </w:rPr>
              <w:t xml:space="preserve">LOW</w:t>
            </w:r>
          </w:p>
        </w:tc>
      </w:tr>
    </w:tbl>
    <w:p>
      <w:pPr>
        <w:spacing w:before="300"/>
      </w:pPr>
    </w:p>
    <w:p>
      <w:pPr>
        <w:pStyle w:val="Heading1"/>
        <w:spacing w:after="150" w:before="300"/>
      </w:pPr>
      <w:r>
        <w:rPr>
          <w:rFonts w:ascii="Arial" w:cs="Arial" w:eastAsia="Arial" w:hAnsi="Arial"/>
          <w:b/>
          <w:bCs/>
        </w:rPr>
        <w:t xml:space="preserve">Key Risks</w:t>
      </w:r>
    </w:p>
    <w:p>
      <w:pPr>
        <w:spacing w:after="100"/>
      </w:pPr>
      <w:r>
        <w:rPr>
          <w:rFonts w:ascii="Arial" w:cs="Arial" w:eastAsia="Arial" w:hAnsi="Arial"/>
          <w:b/>
          <w:bCs/>
          <w:sz w:val="22"/>
          <w:szCs w:val="22"/>
        </w:rPr>
        <w:t xml:space="preserve">1. ABCL635 Phase 2 Failure: </w:t>
      </w:r>
      <w:r>
        <w:rPr>
          <w:rFonts w:ascii="Arial" w:cs="Arial" w:eastAsia="Arial" w:hAnsi="Arial"/>
          <w:sz w:val="22"/>
          <w:szCs w:val="22"/>
        </w:rPr>
        <w:t xml:space="preserve">Binary risk. If Q3 2026 data disappoints, the internal pipeline thesis collapses and valuation reverts to platform-only (likely $500-600M, ~40% downside).</w:t>
      </w:r>
    </w:p>
    <w:p>
      <w:pPr>
        <w:spacing w:after="100"/>
      </w:pPr>
      <w:r>
        <w:rPr>
          <w:rFonts w:ascii="Arial" w:cs="Arial" w:eastAsia="Arial" w:hAnsi="Arial"/>
          <w:b/>
          <w:bCs/>
          <w:sz w:val="22"/>
          <w:szCs w:val="22"/>
        </w:rPr>
        <w:t xml:space="preserve">2. Injectable vs. Oral Friction: </w:t>
      </w:r>
      <w:r>
        <w:rPr>
          <w:rFonts w:ascii="Arial" w:cs="Arial" w:eastAsia="Arial" w:hAnsi="Arial"/>
          <w:sz w:val="22"/>
          <w:szCs w:val="22"/>
        </w:rPr>
        <w:t xml:space="preserve">Even with positive data, commercializing an injectable antibody in a market with approved oral options faces fundamental patient preference headwinds.</w:t>
      </w:r>
    </w:p>
    <w:p>
      <w:pPr>
        <w:spacing w:after="100"/>
      </w:pPr>
      <w:r>
        <w:rPr>
          <w:rFonts w:ascii="Arial" w:cs="Arial" w:eastAsia="Arial" w:hAnsi="Arial"/>
          <w:b/>
          <w:bCs/>
          <w:sz w:val="22"/>
          <w:szCs w:val="22"/>
        </w:rPr>
        <w:t xml:space="preserve">3. Partnership Revenue Plateau: </w:t>
      </w:r>
      <w:r>
        <w:rPr>
          <w:rFonts w:ascii="Arial" w:cs="Arial" w:eastAsia="Arial" w:hAnsi="Arial"/>
          <w:sz w:val="22"/>
          <w:szCs w:val="22"/>
        </w:rPr>
        <w:t xml:space="preserve">Core platform revenue was flat YoY at ~$30M despite growing program count, suggesting pricing pressure or slow monetization of the royalty tail.</w:t>
      </w:r>
    </w:p>
    <w:p>
      <w:pPr>
        <w:spacing w:after="100"/>
      </w:pPr>
      <w:r>
        <w:rPr>
          <w:rFonts w:ascii="Arial" w:cs="Arial" w:eastAsia="Arial" w:hAnsi="Arial"/>
          <w:b/>
          <w:bCs/>
          <w:sz w:val="22"/>
          <w:szCs w:val="22"/>
        </w:rPr>
        <w:t xml:space="preserve">4. Cash Burn Trajectory: </w:t>
      </w:r>
      <w:r>
        <w:rPr>
          <w:rFonts w:ascii="Arial" w:cs="Arial" w:eastAsia="Arial" w:hAnsi="Arial"/>
          <w:sz w:val="22"/>
          <w:szCs w:val="22"/>
        </w:rPr>
        <w:t xml:space="preserve">~$146M annual net loss with no clear path to profitability before 2029-2030. While $700M provides runway, continued losses may require eventual dilution.</w:t>
      </w:r>
    </w:p>
    <w:p>
      <w:pPr>
        <w:spacing w:after="100"/>
      </w:pPr>
      <w:r>
        <w:rPr>
          <w:rFonts w:ascii="Arial" w:cs="Arial" w:eastAsia="Arial" w:hAnsi="Arial"/>
          <w:b/>
          <w:bCs/>
          <w:sz w:val="22"/>
          <w:szCs w:val="22"/>
        </w:rPr>
        <w:t xml:space="preserve">5. Platform Competition from AI-First Entrants: </w:t>
      </w:r>
      <w:r>
        <w:rPr>
          <w:rFonts w:ascii="Arial" w:cs="Arial" w:eastAsia="Arial" w:hAnsi="Arial"/>
          <w:sz w:val="22"/>
          <w:szCs w:val="22"/>
        </w:rPr>
        <w:t xml:space="preserve">Absci, Twist, and emerging generative AI antibody design platforms could erode AbCellera’s technology moat over time.</w:t>
      </w:r>
    </w:p>
    <w:p>
      <w:pPr>
        <w:spacing w:before="400"/>
      </w:pPr>
    </w:p>
    <w:p>
      <w:pPr>
        <w:pBdr>
          <w:top w:val="single" w:color="C0392B" w:sz="6"/>
        </w:pBdr>
        <w:spacing w:after="100" w:before="200"/>
      </w:pPr>
      <w:r>
        <w:rPr>
          <w:rFonts w:ascii="Arial" w:cs="Arial" w:eastAsia="Arial" w:hAnsi="Arial"/>
          <w:b/>
          <w:bCs/>
          <w:color w:val="C0392B"/>
          <w:sz w:val="18"/>
          <w:szCs w:val="18"/>
        </w:rPr>
        <w:t xml:space="preserve">DISCLAIMER: </w:t>
      </w:r>
      <w:r>
        <w:rPr>
          <w:rFonts w:ascii="Arial" w:cs="Arial" w:eastAsia="Arial" w:hAnsi="Arial"/>
          <w:color w:val="7F8C8D"/>
          <w:sz w:val="18"/>
          <w:szCs w:val="18"/>
        </w:rPr>
        <w:t xml:space="preserve">This analysis is for informational and educational purposes only. It does not constitute investment advice, a recommendation, or an offer to buy or sell any securities. All information is based on publicly available sources as of March 27, 2026 and may contain errors or omissions. Investors should conduct their own due diligence and consult qualified financial advisors before making investment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6"/>
        <w:szCs w:val="16"/>
      </w:rPr>
      <w:t xml:space="preserve">ABCL 3+1 Filter™ Analysis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2026-03-27T21:03:59.456Z</dcterms:created>
  <dcterms:modified xsi:type="dcterms:W3CDTF">2026-03-27T21:03:59.456Z</dcterms:modified>
</cp:coreProperties>
</file>

<file path=docProps/custom.xml><?xml version="1.0" encoding="utf-8"?>
<Properties xmlns="http://schemas.openxmlformats.org/officeDocument/2006/custom-properties" xmlns:vt="http://schemas.openxmlformats.org/officeDocument/2006/docPropsVTypes"/>
</file>