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240F" w14:textId="77777777" w:rsidR="00131690" w:rsidRDefault="00131690">
      <w:pPr>
        <w:spacing w:after="3000" w:line="276" w:lineRule="auto"/>
      </w:pPr>
    </w:p>
    <w:p w14:paraId="42362173" w14:textId="77777777" w:rsidR="00131690" w:rsidRDefault="00000000">
      <w:pPr>
        <w:spacing w:after="200" w:line="276" w:lineRule="auto"/>
        <w:jc w:val="center"/>
      </w:pPr>
      <w:r>
        <w:rPr>
          <w:b/>
          <w:bCs/>
          <w:color w:val="1B3A5C"/>
          <w:sz w:val="48"/>
          <w:szCs w:val="48"/>
        </w:rPr>
        <w:t>EARNINGS MULTIPLE PREMIUM ANALYSIS</w:t>
      </w:r>
    </w:p>
    <w:p w14:paraId="31AE15FD" w14:textId="77777777" w:rsidR="00131690" w:rsidRDefault="00131690">
      <w:pPr>
        <w:spacing w:after="100" w:line="276" w:lineRule="auto"/>
      </w:pPr>
    </w:p>
    <w:p w14:paraId="7E8E633F" w14:textId="77777777" w:rsidR="00131690" w:rsidRDefault="00131690">
      <w:pPr>
        <w:pBdr>
          <w:bottom w:val="single" w:sz="6" w:space="1" w:color="2E5090"/>
        </w:pBdr>
        <w:spacing w:after="200"/>
        <w:jc w:val="center"/>
      </w:pPr>
    </w:p>
    <w:p w14:paraId="37826E02" w14:textId="77777777" w:rsidR="00131690" w:rsidRDefault="00131690">
      <w:pPr>
        <w:spacing w:after="100" w:line="276" w:lineRule="auto"/>
      </w:pPr>
    </w:p>
    <w:p w14:paraId="21C321F6" w14:textId="77777777" w:rsidR="00131690" w:rsidRDefault="00000000">
      <w:pPr>
        <w:spacing w:after="400" w:line="276" w:lineRule="auto"/>
        <w:jc w:val="center"/>
      </w:pPr>
      <w:r>
        <w:rPr>
          <w:b/>
          <w:bCs/>
          <w:color w:val="2E5090"/>
          <w:sz w:val="26"/>
          <w:szCs w:val="26"/>
        </w:rPr>
        <w:t>Veeva Systems (</w:t>
      </w:r>
      <w:proofErr w:type="gramStart"/>
      <w:r>
        <w:rPr>
          <w:b/>
          <w:bCs/>
          <w:color w:val="2E5090"/>
          <w:sz w:val="26"/>
          <w:szCs w:val="26"/>
        </w:rPr>
        <w:t>VEEV)  |</w:t>
      </w:r>
      <w:proofErr w:type="gramEnd"/>
      <w:r>
        <w:rPr>
          <w:b/>
          <w:bCs/>
          <w:color w:val="2E5090"/>
          <w:sz w:val="26"/>
          <w:szCs w:val="26"/>
        </w:rPr>
        <w:t xml:space="preserve">  EMCOR Group (</w:t>
      </w:r>
      <w:proofErr w:type="gramStart"/>
      <w:r>
        <w:rPr>
          <w:b/>
          <w:bCs/>
          <w:color w:val="2E5090"/>
          <w:sz w:val="26"/>
          <w:szCs w:val="26"/>
        </w:rPr>
        <w:t>EME)  |</w:t>
      </w:r>
      <w:proofErr w:type="gramEnd"/>
      <w:r>
        <w:rPr>
          <w:b/>
          <w:bCs/>
          <w:color w:val="2E5090"/>
          <w:sz w:val="26"/>
          <w:szCs w:val="26"/>
        </w:rPr>
        <w:t xml:space="preserve">  Intuitive Surgical (ISRG)</w:t>
      </w:r>
    </w:p>
    <w:p w14:paraId="55FAAF09" w14:textId="77777777" w:rsidR="00131690" w:rsidRDefault="00000000">
      <w:pPr>
        <w:spacing w:after="200" w:line="276" w:lineRule="auto"/>
        <w:jc w:val="center"/>
      </w:pPr>
      <w:r>
        <w:rPr>
          <w:color w:val="555555"/>
          <w:sz w:val="24"/>
          <w:szCs w:val="24"/>
        </w:rPr>
        <w:t>Premium Institutional Quality Investment Memo</w:t>
      </w:r>
    </w:p>
    <w:p w14:paraId="0D19CFDA" w14:textId="77777777" w:rsidR="00131690" w:rsidRDefault="00000000">
      <w:pPr>
        <w:spacing w:after="200" w:line="276" w:lineRule="auto"/>
        <w:jc w:val="center"/>
      </w:pPr>
      <w:r>
        <w:rPr>
          <w:color w:val="777777"/>
        </w:rPr>
        <w:t>March 2026</w:t>
      </w:r>
    </w:p>
    <w:p w14:paraId="3247A108" w14:textId="77777777" w:rsidR="00131690" w:rsidRDefault="00131690">
      <w:pPr>
        <w:spacing w:after="2000" w:line="276" w:lineRule="auto"/>
      </w:pPr>
    </w:p>
    <w:p w14:paraId="00F98AA6" w14:textId="77777777" w:rsidR="00131690" w:rsidRDefault="00000000">
      <w:pPr>
        <w:spacing w:after="120" w:line="276" w:lineRule="auto"/>
        <w:jc w:val="center"/>
      </w:pPr>
      <w:r>
        <w:rPr>
          <w:b/>
          <w:bCs/>
          <w:sz w:val="20"/>
          <w:szCs w:val="20"/>
        </w:rPr>
        <w:t xml:space="preserve">Framework: </w:t>
      </w:r>
      <w:r>
        <w:rPr>
          <w:sz w:val="20"/>
          <w:szCs w:val="20"/>
        </w:rPr>
        <w:t>This memo evaluates whether $1 of each company's current earnings deserves a higher multiple than $1 of earnings from a market-average listed business. Premium credit is given only through four economic mechanisms: (1) More Future Owner Cash Flows, (2) Longer Duration of Cash Flows, (3) Lower Reinvestment Drag, and (4) Lower Fragility of Cash Flows.</w:t>
      </w:r>
    </w:p>
    <w:p w14:paraId="0048B483" w14:textId="77777777" w:rsidR="00131690" w:rsidRDefault="00000000">
      <w:pPr>
        <w:pStyle w:val="Heading1"/>
        <w:pageBreakBefore/>
      </w:pPr>
      <w:r>
        <w:lastRenderedPageBreak/>
        <w:t>VEEVA SYSTEMS (VEEV)</w:t>
      </w:r>
    </w:p>
    <w:p w14:paraId="0041AD88" w14:textId="77777777" w:rsidR="00131690" w:rsidRDefault="00000000">
      <w:pPr>
        <w:pStyle w:val="Heading2"/>
      </w:pPr>
      <w:r>
        <w:t>EXECUTIVE SUMMARY</w:t>
      </w:r>
    </w:p>
    <w:p w14:paraId="72AAF243" w14:textId="77777777" w:rsidR="00131690" w:rsidRDefault="00000000">
      <w:pPr>
        <w:spacing w:after="120" w:line="276" w:lineRule="auto"/>
      </w:pPr>
      <w:r>
        <w:rPr>
          <w:b/>
          <w:bCs/>
        </w:rPr>
        <w:t>Overall Premium Category: Large Premium.</w:t>
      </w:r>
      <w:r>
        <w:t xml:space="preserve"> Veeva is a dominant vertical SaaS provider in life sciences with exceptional switching costs, high recurring revenue (83% subscription), strong FCF conversion (~39-44% FCF margin), and a structurally durable competitive position. The business deserves a meaningful premium to a market-average company across most of the four buckets.</w:t>
      </w:r>
    </w:p>
    <w:p w14:paraId="231CDD17" w14:textId="77777777" w:rsidR="00131690" w:rsidRDefault="00000000">
      <w:pPr>
        <w:spacing w:after="120" w:line="276" w:lineRule="auto"/>
      </w:pPr>
      <w:r>
        <w:rPr>
          <w:b/>
          <w:bCs/>
        </w:rPr>
        <w:t xml:space="preserve">Dominant Bucket: </w:t>
      </w:r>
      <w:r>
        <w:t xml:space="preserve">Longer Duration of Cash Flows. Veeva's switching costs are among the strongest in enterprise software. Regulated validation requirements, deep multi-module integration, and mission-critical </w:t>
      </w:r>
      <w:proofErr w:type="spellStart"/>
      <w:r>
        <w:t>GxP</w:t>
      </w:r>
      <w:proofErr w:type="spellEnd"/>
      <w:r>
        <w:t xml:space="preserve"> workflows create near-permanent customer relationships. Subscription revenue retention of 119-124% confirms customers </w:t>
      </w:r>
      <w:proofErr w:type="gramStart"/>
      <w:r>
        <w:t>expand</w:t>
      </w:r>
      <w:proofErr w:type="gramEnd"/>
      <w:r>
        <w:t xml:space="preserve"> rather than leave.</w:t>
      </w:r>
    </w:p>
    <w:p w14:paraId="255A816A" w14:textId="77777777" w:rsidR="00131690" w:rsidRDefault="00000000">
      <w:pPr>
        <w:spacing w:after="120" w:line="276" w:lineRule="auto"/>
      </w:pPr>
      <w:r>
        <w:rPr>
          <w:b/>
          <w:bCs/>
        </w:rPr>
        <w:t xml:space="preserve">Weakest / Most Overstated Bucket: </w:t>
      </w:r>
      <w:r>
        <w:t>More Future Owner Cash Flows. While Veeva is growing at ~15-16% annually, this growth is structurally constrained by its single-vertical focus on life sciences. The TAM, while large (~$20B+), is narrow compared to horizontal software. International penetration remains limited. Vault CRM migration is a one-time catalyst, not a permanent growth accelerator. Investors may over-credit the growth runway relative to a genuinely multi-vertical platform.</w:t>
      </w:r>
    </w:p>
    <w:p w14:paraId="1C2392FB" w14:textId="77777777" w:rsidR="00131690" w:rsidRDefault="00000000">
      <w:pPr>
        <w:spacing w:after="120" w:line="276" w:lineRule="auto"/>
      </w:pPr>
      <w:r>
        <w:rPr>
          <w:b/>
          <w:bCs/>
        </w:rPr>
        <w:t xml:space="preserve">Strongest reason </w:t>
      </w:r>
      <w:proofErr w:type="gramStart"/>
      <w:r>
        <w:rPr>
          <w:b/>
          <w:bCs/>
        </w:rPr>
        <w:t>it</w:t>
      </w:r>
      <w:proofErr w:type="gramEnd"/>
      <w:r>
        <w:rPr>
          <w:b/>
          <w:bCs/>
        </w:rPr>
        <w:t xml:space="preserve"> does NOT deserve Extreme Premium: </w:t>
      </w:r>
      <w:r>
        <w:t xml:space="preserve">Future owner cash-flow growth is clearly structurally capped by the life sciences </w:t>
      </w:r>
      <w:proofErr w:type="gramStart"/>
      <w:r>
        <w:t>vertical</w:t>
      </w:r>
      <w:proofErr w:type="gramEnd"/>
      <w:r>
        <w:t>. Veeva cannot easily expand beyond pharma/biotech without rebuilding its entire domain expertise. Additionally, stock-based compensation at ~16% of revenue creates meaningful dilution that reduces true owner cash flows relative to reported non-GAAP figures. The Salesforce competitive threat, while manageable, introduces nonzero duration risk that did not exist three years ago.</w:t>
      </w:r>
    </w:p>
    <w:p w14:paraId="1BCA6800" w14:textId="77777777" w:rsidR="00131690" w:rsidRDefault="00000000">
      <w:pPr>
        <w:pStyle w:val="Heading2"/>
      </w:pPr>
      <w:r>
        <w:t>BUSINESS MODEL &amp; CORE ECONOMICS</w:t>
      </w:r>
    </w:p>
    <w:p w14:paraId="3F04800C" w14:textId="77777777" w:rsidR="00131690" w:rsidRDefault="00000000">
      <w:pPr>
        <w:spacing w:after="120" w:line="276" w:lineRule="auto"/>
      </w:pPr>
      <w:r>
        <w:t xml:space="preserve">Veeva Systems sells cloud-based software exclusively to the global life sciences industry, spanning two domains: (1) Commercial Solutions (Vault CRM, </w:t>
      </w:r>
      <w:proofErr w:type="spellStart"/>
      <w:r>
        <w:t>PromoMats</w:t>
      </w:r>
      <w:proofErr w:type="spellEnd"/>
      <w:r>
        <w:t>, customer engagement tools for pharmaceutical sales and marketing), and (2) R&amp;D Solutions (Vault Clinical, Regulatory, Quality, Safety, and Data applications for drug development and compliance). Revenue is 83% subscription and 17% professional services. FY2025 total revenue was $2.75B (+16.2% YoY), with GAAP operating income of $691M (25.2% margin) and free cash flow of $1.07B (39% FCF margin). The company has approximately 1,477 customers as of January 2025, including 47 of the top 50 global biopharma companies.</w:t>
      </w:r>
    </w:p>
    <w:p w14:paraId="2AB1211B" w14:textId="77777777" w:rsidR="00131690" w:rsidRDefault="00000000">
      <w:pPr>
        <w:spacing w:after="120" w:line="276" w:lineRule="auto"/>
      </w:pPr>
      <w:r>
        <w:t>The structural limit on Veeva's economics is its single-vertical design. Unlike Salesforce, ServiceNow, or other horizontal platforms, Veeva deliberately restricts itself to life sciences. This creates depth but caps breadth. The company's TAM is estimated at $20B+ but is bounded by the total IT spending of pharmaceutical, biotech, and medical device companies. Growth must come from (a) cross-selling additional modules to existing customers, (b) winning new customers within life sciences, and (c) modest pricing increases. Each of these levers is real but structurally limited compared to a horizontal platform serving all industries.</w:t>
      </w:r>
    </w:p>
    <w:p w14:paraId="684FCCFE" w14:textId="77777777" w:rsidR="00131690" w:rsidRDefault="00000000">
      <w:pPr>
        <w:pStyle w:val="Heading2"/>
      </w:pPr>
      <w:r>
        <w:lastRenderedPageBreak/>
        <w:t>BUCKET 1: MORE FUTURE OWNER CASH FLOWS</w:t>
      </w:r>
    </w:p>
    <w:p w14:paraId="5878115A" w14:textId="77777777" w:rsidR="00131690" w:rsidRDefault="00000000">
      <w:pPr>
        <w:pStyle w:val="Heading3"/>
      </w:pPr>
      <w:r>
        <w:t>Main Mechanism: Cross-Sell Expansion Within a Captive Customer Base</w:t>
      </w:r>
    </w:p>
    <w:p w14:paraId="113E84D0" w14:textId="77777777" w:rsidR="00131690" w:rsidRDefault="00000000">
      <w:pPr>
        <w:spacing w:after="120" w:line="276" w:lineRule="auto"/>
      </w:pPr>
      <w:r>
        <w:t xml:space="preserve">Veeva's primary growth engine is not new customer acquisition (the top 50 pharma companies are already customers) but </w:t>
      </w:r>
      <w:proofErr w:type="gramStart"/>
      <w:r>
        <w:t>rather expanding</w:t>
      </w:r>
      <w:proofErr w:type="gramEnd"/>
      <w:r>
        <w:t xml:space="preserve"> the number of Vault modules each customer uses. A typical customer starts with CRM or one Vault application and progressively adds Clinical, Regulatory, Quality, Safety, and Data modules. This creates compounding revenue per customer. Net revenue retention of 119-124% (FY2021-2022) quantifies this expansion. Subscription revenue grew 20% in FY2025, outpacing total revenue growth of 16%.</w:t>
      </w:r>
    </w:p>
    <w:p w14:paraId="2679CE3F" w14:textId="77777777" w:rsidR="00131690" w:rsidRDefault="00000000">
      <w:pPr>
        <w:pStyle w:val="Heading3"/>
      </w:pPr>
      <w:r>
        <w:t>Best Evidence</w:t>
      </w:r>
    </w:p>
    <w:p w14:paraId="29EA0095" w14:textId="77777777" w:rsidR="00131690" w:rsidRDefault="00000000">
      <w:pPr>
        <w:spacing w:after="120" w:line="276" w:lineRule="auto"/>
      </w:pPr>
      <w:r>
        <w:t>FY2025 subscription revenue of $2.28B grew 20% YoY, demonstrating robust expansion. R&amp;D Solutions now has 1,125 customers vs. 730 in Commercial, indicating successful cross-domain penetration. The Vault CRM migration (80+ live deployments, targeting 200+ by end of FY2026) is a near-term catalyst that resets the commercial platform and creates a new cross-</w:t>
      </w:r>
      <w:proofErr w:type="gramStart"/>
      <w:r>
        <w:t>sell</w:t>
      </w:r>
      <w:proofErr w:type="gramEnd"/>
      <w:r>
        <w:t xml:space="preserve"> surface. FY2026 guidance of $3.17B (+15%) shows continued confidence. Quality Suite adoption (600+ customers) demonstrates new-module-driven growth.</w:t>
      </w:r>
    </w:p>
    <w:p w14:paraId="112528BA" w14:textId="77777777" w:rsidR="00131690" w:rsidRDefault="00000000">
      <w:pPr>
        <w:pStyle w:val="Heading3"/>
      </w:pPr>
      <w:r>
        <w:t xml:space="preserve">Structural Limit / </w:t>
      </w:r>
      <w:proofErr w:type="gramStart"/>
      <w:r>
        <w:t>Counter-Evidence</w:t>
      </w:r>
      <w:proofErr w:type="gramEnd"/>
    </w:p>
    <w:p w14:paraId="59981DD1" w14:textId="77777777" w:rsidR="00131690" w:rsidRDefault="00000000">
      <w:pPr>
        <w:spacing w:after="120" w:line="276" w:lineRule="auto"/>
      </w:pPr>
      <w:r>
        <w:t>Growth decelerated to 9.7% in FY2024 before recovering, showing sensitivity to macro conditions and the Salesforce uncertainty. The life sciences TAM, while estimated at $20B+, is narrow. Veeva's penetration is already ~16% and concentrated among the largest buyers. Mid-market and small biotech customers are lower-value and harder to acquire. International revenue (38% of total) is growing but faces local competition and regulatory complexity. Most critically, the Vault CRM migration is a one-time shift that will mature within 2-3 years. Post-migration, the CRM replacement cycle disappears as a growth driver.</w:t>
      </w:r>
    </w:p>
    <w:p w14:paraId="3BBCC83F" w14:textId="77777777" w:rsidR="00131690" w:rsidRDefault="00000000">
      <w:pPr>
        <w:pStyle w:val="Heading3"/>
      </w:pPr>
      <w:r>
        <w:t>What Investors May Be Over-Crediting</w:t>
      </w:r>
    </w:p>
    <w:p w14:paraId="545AF340" w14:textId="77777777" w:rsidR="00131690" w:rsidRDefault="00000000">
      <w:pPr>
        <w:spacing w:after="120" w:line="276" w:lineRule="auto"/>
      </w:pPr>
      <w:r>
        <w:t>The market may be over-crediting Veeva's AI product launches (Veeva AI Agents, December 2025) as a durable growth accelerator. AI features in vertical SaaS are largely table-stakes additions that competitors will match. The TAM expansion narrative ($20B to $30-50B) relies on optimistic assumptions about adjacent market penetration that Veeva has not yet demonstrated. The 15% growth guidance for FY2026, while healthy, is not exceptional for a company trading at ~33x trailing earnings.</w:t>
      </w:r>
    </w:p>
    <w:p w14:paraId="4032BA56" w14:textId="77777777" w:rsidR="00131690" w:rsidRDefault="00000000">
      <w:pPr>
        <w:spacing w:after="120" w:line="276" w:lineRule="auto"/>
      </w:pPr>
      <w:r>
        <w:rPr>
          <w:b/>
          <w:bCs/>
        </w:rPr>
        <w:t>Contribution to Premium: Moderate.</w:t>
      </w:r>
      <w:r>
        <w:t xml:space="preserve"> Veeva generates real, above-market growth through cross-sell expansion within a captive base, but growth is structurally constrained by its single-vertical focus. Compared to horizontal platforms with genuinely open-ended TAMs, the growth runway is quantifiably limited.</w:t>
      </w:r>
    </w:p>
    <w:p w14:paraId="75235825" w14:textId="77777777" w:rsidR="00131690" w:rsidRDefault="00000000">
      <w:pPr>
        <w:spacing w:after="120" w:line="276" w:lineRule="auto"/>
      </w:pPr>
      <w:r>
        <w:rPr>
          <w:b/>
          <w:bCs/>
        </w:rPr>
        <w:t xml:space="preserve">Verdict: </w:t>
      </w:r>
      <w:r>
        <w:t>This bucket justifies a moderate premium over a market-average business. Growth is real and durable but not exceptional. A market-average business might grow revenue 3-5% nominally; Veeva's 12-16% organic growth is 3-4x higher, but the structural ceiling is visible within a decade.</w:t>
      </w:r>
    </w:p>
    <w:p w14:paraId="67F97AA6" w14:textId="77777777" w:rsidR="00131690" w:rsidRDefault="00000000">
      <w:pPr>
        <w:pStyle w:val="Heading2"/>
      </w:pPr>
      <w:r>
        <w:lastRenderedPageBreak/>
        <w:t>BUCKET 2: LONGER DURATION OF CASH FLOWS</w:t>
      </w:r>
    </w:p>
    <w:p w14:paraId="68E33235" w14:textId="77777777" w:rsidR="00131690" w:rsidRDefault="00000000">
      <w:pPr>
        <w:pStyle w:val="Heading3"/>
      </w:pPr>
      <w:r>
        <w:t>Main Mechanism: Regulatory Switching Costs in Mission-Critical Workflows</w:t>
      </w:r>
    </w:p>
    <w:p w14:paraId="6F09F76A" w14:textId="77777777" w:rsidR="00131690" w:rsidRDefault="00000000">
      <w:pPr>
        <w:spacing w:after="120" w:line="276" w:lineRule="auto"/>
      </w:pPr>
      <w:r>
        <w:t xml:space="preserve">This is Veeva's dominant premium mechanism. The economic argument is precise: life sciences companies must validate their software systems under FDA 21 CFR Part 11, EMA </w:t>
      </w:r>
      <w:proofErr w:type="spellStart"/>
      <w:r>
        <w:t>GxP</w:t>
      </w:r>
      <w:proofErr w:type="spellEnd"/>
      <w:r>
        <w:t xml:space="preserve"> requirements, and other global regulatory frameworks. Switching from Veeva's Vault platform to a competitor requires (a) full re-validation of the new system, which can take 12-18 months and cost millions in consulting fees, (b) migration of decades of regulatory submissions, clinical trial records, and audit trails, (c) retraining of hundreds to thousands of users across R&amp;D and commercial functions, and (d) risk of regulatory non-compliance during the transition. These switching costs are not marketing narratives; they are legally mandated regulatory requirements that make customer churn structurally improbable for established deployments.</w:t>
      </w:r>
    </w:p>
    <w:p w14:paraId="6C658761" w14:textId="77777777" w:rsidR="00131690" w:rsidRDefault="00000000">
      <w:pPr>
        <w:pStyle w:val="Heading3"/>
      </w:pPr>
      <w:r>
        <w:t>Best Evidence</w:t>
      </w:r>
    </w:p>
    <w:p w14:paraId="0E078768" w14:textId="77777777" w:rsidR="00131690" w:rsidRDefault="00000000">
      <w:pPr>
        <w:spacing w:after="120" w:line="276" w:lineRule="auto"/>
      </w:pPr>
      <w:r>
        <w:t>Subscription revenue retention of 119-124% demonstrates that customers not only stay but expand. Despite the highly publicized Salesforce separation (announced in 2022, effective September 2025), Veeva has retained 19 of the top 20 pharma companies as customers. Seven of the top 20 have committed to Vault CRM vs. only 2 to Salesforce's alternative. Major customers including Merck, Roche, and Novo Nordisk migrated to Vault CRM in 2025, validating the stickiness of the relationship even when the platform changed. The company has never disclosed material churn. Multi-module adoption (customers typically running 5-10+ Vault applications) creates deep data integration that compounds the switching cost with each additional module.</w:t>
      </w:r>
    </w:p>
    <w:p w14:paraId="51E25B4D" w14:textId="77777777" w:rsidR="00131690" w:rsidRDefault="00000000">
      <w:pPr>
        <w:pStyle w:val="Heading3"/>
      </w:pPr>
      <w:r>
        <w:t xml:space="preserve">Structural Limit / </w:t>
      </w:r>
      <w:proofErr w:type="gramStart"/>
      <w:r>
        <w:t>Counter-Evidence</w:t>
      </w:r>
      <w:proofErr w:type="gramEnd"/>
    </w:p>
    <w:p w14:paraId="73D56D7D" w14:textId="77777777" w:rsidR="00131690" w:rsidRDefault="00000000">
      <w:pPr>
        <w:spacing w:after="120" w:line="276" w:lineRule="auto"/>
      </w:pPr>
      <w:r>
        <w:t xml:space="preserve">The Salesforce separation introduced a real competitive threat that did not previously exist. Salesforce Life Sciences Cloud launched in September 2025 and signed 70+ customers in its first months, including Pfizer, Takeda, and Boehringer Ingelheim. Salesforce reportedly defected one </w:t>
      </w:r>
      <w:proofErr w:type="gramStart"/>
      <w:r>
        <w:t>top-3</w:t>
      </w:r>
      <w:proofErr w:type="gramEnd"/>
      <w:r>
        <w:t xml:space="preserve"> global pharma company from Veeva. While early adoption numbers are small </w:t>
      </w:r>
      <w:proofErr w:type="gramStart"/>
      <w:r>
        <w:t>relative</w:t>
      </w:r>
      <w:proofErr w:type="gramEnd"/>
      <w:r>
        <w:t xml:space="preserve"> to Veeva's base, this demonstrates that switching is possible for sufficiently motivated buyers, particularly those already standardized on Salesforce infrastructure. If Salesforce successfully integrates its CRM with its broader platform ecosystem (Data Cloud, AI capabilities), the switching cost disadvantage for Salesforce alternatives could diminish over time. Additionally, Veeva's R&amp;D solutions face competition from Dassault/Medidata (~12% market share) and IQVIA (~16%), which compete effectively in clinical trial management.</w:t>
      </w:r>
    </w:p>
    <w:p w14:paraId="5DD6506A" w14:textId="77777777" w:rsidR="00131690" w:rsidRDefault="00000000">
      <w:pPr>
        <w:pStyle w:val="Heading3"/>
      </w:pPr>
      <w:r>
        <w:t>What Investors May Be Over-Crediting</w:t>
      </w:r>
    </w:p>
    <w:p w14:paraId="01D7E407" w14:textId="77777777" w:rsidR="00131690" w:rsidRDefault="00000000">
      <w:pPr>
        <w:spacing w:after="120" w:line="276" w:lineRule="auto"/>
      </w:pPr>
      <w:r>
        <w:t xml:space="preserve">Investors may assume that Veeva's switching costs are permanent and impervious to competitive attack. The Salesforce defection of a </w:t>
      </w:r>
      <w:proofErr w:type="gramStart"/>
      <w:r>
        <w:t>top-3</w:t>
      </w:r>
      <w:proofErr w:type="gramEnd"/>
      <w:r>
        <w:t xml:space="preserve"> pharma company proves this is not entirely true. The switching costs are high but not infinite, especially for the CRM/commercial side of the business, which is less regulated than the R&amp;D side. The CRM switching cost argument was strongest when Veeva was on the Salesforce platform (switching required leaving an ecosystem); now that Veeva runs its own proprietary platform, the lock-in dynamic is different and untested over a full product cycle.</w:t>
      </w:r>
    </w:p>
    <w:p w14:paraId="52539B23" w14:textId="77777777" w:rsidR="00131690" w:rsidRDefault="00000000">
      <w:pPr>
        <w:spacing w:after="120" w:line="276" w:lineRule="auto"/>
      </w:pPr>
      <w:r>
        <w:rPr>
          <w:b/>
          <w:bCs/>
        </w:rPr>
        <w:lastRenderedPageBreak/>
        <w:t>Contribution to Premium: Strong.</w:t>
      </w:r>
      <w:r>
        <w:t xml:space="preserve"> Veeva's regulated switching costs are among the most durable in enterprise software. The mechanism is concrete: regulatory validation requirements create legally mandated barriers to switching. However, the Salesforce competitive entry reduces the premium slightly from what it would have been 3 years ago.</w:t>
      </w:r>
    </w:p>
    <w:p w14:paraId="6C736934" w14:textId="77777777" w:rsidR="00131690" w:rsidRDefault="00000000">
      <w:pPr>
        <w:spacing w:after="120" w:line="276" w:lineRule="auto"/>
      </w:pPr>
      <w:r>
        <w:rPr>
          <w:b/>
          <w:bCs/>
        </w:rPr>
        <w:t xml:space="preserve">Verdict: </w:t>
      </w:r>
      <w:r>
        <w:t xml:space="preserve">This bucket strongly justifies paying more than for a </w:t>
      </w:r>
      <w:proofErr w:type="gramStart"/>
      <w:r>
        <w:t>market-average</w:t>
      </w:r>
      <w:proofErr w:type="gramEnd"/>
      <w:r>
        <w:t xml:space="preserve"> business. A market-average business has modest customer retention and faces constant competitive pressure. Veeva's customers are structurally locked in through regulatory requirements, not just habit or convenience. This meaningfully extends the probable duration of cash flows.</w:t>
      </w:r>
    </w:p>
    <w:p w14:paraId="2297D86B" w14:textId="77777777" w:rsidR="00131690" w:rsidRDefault="00000000">
      <w:pPr>
        <w:pStyle w:val="Heading2"/>
      </w:pPr>
      <w:r>
        <w:t>BUCKET 3: LOWER REINVESTMENT DRAG</w:t>
      </w:r>
    </w:p>
    <w:p w14:paraId="36564355" w14:textId="77777777" w:rsidR="00131690" w:rsidRDefault="00000000">
      <w:pPr>
        <w:pStyle w:val="Heading3"/>
      </w:pPr>
      <w:r>
        <w:t xml:space="preserve">Main Mechanism: </w:t>
      </w:r>
      <w:proofErr w:type="gramStart"/>
      <w:r>
        <w:t>Near-Zero</w:t>
      </w:r>
      <w:proofErr w:type="gramEnd"/>
      <w:r>
        <w:t xml:space="preserve"> Physical Capital Intensity with High FCF Conversion</w:t>
      </w:r>
    </w:p>
    <w:p w14:paraId="2661F224" w14:textId="77777777" w:rsidR="00131690" w:rsidRDefault="00000000">
      <w:pPr>
        <w:spacing w:after="120" w:line="276" w:lineRule="auto"/>
      </w:pPr>
      <w:r>
        <w:t xml:space="preserve">Veeva's reinvestment profile is genuinely favorable compared to a market-average business. Capital </w:t>
      </w:r>
      <w:proofErr w:type="gramStart"/>
      <w:r>
        <w:t>expenditures are</w:t>
      </w:r>
      <w:proofErr w:type="gramEnd"/>
      <w:r>
        <w:t xml:space="preserve"> approximately 0.7-0.8% of revenue (~$20M annually on ~$2.75B revenue). The business requires no manufacturing facilities, no physical inventory, no distribution infrastructure, and no expensive machinery. Working capital is favorable: Veeva collects upfront annual and multi-year subscription payments, creating a negative working capital cycle for subscription revenue. Free cash flow conversion is excellent: FY2025 FCF of $1.07B on $2.75B revenue represents a 39% FCF margin, and the trailing twelve-month average approaches 44%. ROIC is high because the invested capital base is minimal relative to earnings.</w:t>
      </w:r>
    </w:p>
    <w:p w14:paraId="169315E3" w14:textId="77777777" w:rsidR="00131690" w:rsidRDefault="00000000">
      <w:pPr>
        <w:pStyle w:val="Heading3"/>
      </w:pPr>
      <w:r>
        <w:t>Best Evidence</w:t>
      </w:r>
    </w:p>
    <w:p w14:paraId="23BB71E5" w14:textId="77777777" w:rsidR="00131690" w:rsidRDefault="00000000">
      <w:pPr>
        <w:spacing w:after="120" w:line="276" w:lineRule="auto"/>
      </w:pPr>
      <w:r>
        <w:t>Capex as a percentage of revenue has been consistently below 1% for the past five years. The operating cash flow to net income conversion ratio exceeds 1.0x in most periods, confirming that reported earnings translate into actual cash. The current ratio of 4.89x and zero debt indicate no reinvestment stress on the balance sheet. The company holds $6.6B in cash and short-term investments on a $29B market cap, meaning roughly 23% of the equity value is liquid cash.</w:t>
      </w:r>
    </w:p>
    <w:p w14:paraId="690D1C28" w14:textId="77777777" w:rsidR="00131690" w:rsidRDefault="00000000">
      <w:pPr>
        <w:pStyle w:val="Heading3"/>
      </w:pPr>
      <w:r>
        <w:t xml:space="preserve">Structural Limit / </w:t>
      </w:r>
      <w:proofErr w:type="gramStart"/>
      <w:r>
        <w:t>Counter-Evidence</w:t>
      </w:r>
      <w:proofErr w:type="gramEnd"/>
    </w:p>
    <w:p w14:paraId="36FE0CB0" w14:textId="77777777" w:rsidR="00131690" w:rsidRDefault="00000000">
      <w:pPr>
        <w:spacing w:after="120" w:line="276" w:lineRule="auto"/>
      </w:pPr>
      <w:r>
        <w:t xml:space="preserve">The primary drag on true owner cash flows is stock-based compensation (SBC). FY2025 SBC was $437M, or 15.9% of revenue. This is the single largest expense that separates GAAP earnings ($714M net income) from non-GAAP ($1.09B). SBC represents real economic </w:t>
      </w:r>
      <w:proofErr w:type="gramStart"/>
      <w:r>
        <w:t>dilution</w:t>
      </w:r>
      <w:proofErr w:type="gramEnd"/>
      <w:r>
        <w:t xml:space="preserve"> to existing shareholders. While SBC as a percentage of revenue is declining (from 16.7% in FY2024), it remains materially above what a market-average business would incur. R&amp;D spending at 25% of revenue is necessary to maintain competitive positioning but is high relative to many SaaS businesses and represents an ongoing reinvestment requirement, not a discretionary choice. Additionally, Veeva does not return capital to shareholders through buybacks or dividends, meaning the cash accumulates on the balance sheet rather than flowing to owners.</w:t>
      </w:r>
    </w:p>
    <w:p w14:paraId="4B3993D4" w14:textId="77777777" w:rsidR="00131690" w:rsidRDefault="00000000">
      <w:pPr>
        <w:pStyle w:val="Heading3"/>
      </w:pPr>
      <w:r>
        <w:t>What Investors May Be Over-Crediting</w:t>
      </w:r>
    </w:p>
    <w:p w14:paraId="7AE90853" w14:textId="77777777" w:rsidR="00131690" w:rsidRDefault="00000000">
      <w:pPr>
        <w:spacing w:after="120" w:line="276" w:lineRule="auto"/>
      </w:pPr>
      <w:r>
        <w:lastRenderedPageBreak/>
        <w:t xml:space="preserve">Non-GAAP metrics (42% operating margin, $6.60 non-GAAP EPS) present a significantly rosier picture than GAAP (25.2% operating margin, $4.32 EPS). The gap is almost entirely SBC. Investors who evaluate Veeva on non-GAAP margins without adjusting </w:t>
      </w:r>
      <w:proofErr w:type="gramStart"/>
      <w:r>
        <w:t>for</w:t>
      </w:r>
      <w:proofErr w:type="gramEnd"/>
      <w:r>
        <w:t xml:space="preserve"> the dilutive effect of SBC are over-crediting the reinvestment efficiency. Additionally, the $6.6B cash hoard earns interest income but is not being deployed for shareholders; it inflates reported EPS without improving owner economics. The absence of any buyback or dividend program means Veeva's capital allocation is suboptimal from an </w:t>
      </w:r>
      <w:proofErr w:type="gramStart"/>
      <w:r>
        <w:t>owner</w:t>
      </w:r>
      <w:proofErr w:type="gramEnd"/>
      <w:r>
        <w:t xml:space="preserve"> cash-flow perspective.</w:t>
      </w:r>
    </w:p>
    <w:p w14:paraId="58F14FF6" w14:textId="77777777" w:rsidR="00131690" w:rsidRDefault="00000000">
      <w:pPr>
        <w:spacing w:after="120" w:line="276" w:lineRule="auto"/>
      </w:pPr>
      <w:r>
        <w:rPr>
          <w:b/>
          <w:bCs/>
        </w:rPr>
        <w:t>Contribution to Premium: Moderate.</w:t>
      </w:r>
      <w:r>
        <w:t xml:space="preserve"> Physical </w:t>
      </w:r>
      <w:proofErr w:type="gramStart"/>
      <w:r>
        <w:t>reinvestment</w:t>
      </w:r>
      <w:proofErr w:type="gramEnd"/>
      <w:r>
        <w:t xml:space="preserve"> drag is genuinely low. But SBC at ~16% of revenue and R&amp;D at 25% of revenue represent real ongoing costs that reduce the net advantage relative to what headline FCF margins suggest. The reinvestment profile is better than a market-average </w:t>
      </w:r>
      <w:proofErr w:type="gramStart"/>
      <w:r>
        <w:t>business</w:t>
      </w:r>
      <w:proofErr w:type="gramEnd"/>
      <w:r>
        <w:t xml:space="preserve"> but not as exceptional as non-GAAP metrics imply.</w:t>
      </w:r>
    </w:p>
    <w:p w14:paraId="3C957B4A" w14:textId="77777777" w:rsidR="00131690" w:rsidRDefault="00000000">
      <w:pPr>
        <w:spacing w:after="120" w:line="276" w:lineRule="auto"/>
      </w:pPr>
      <w:r>
        <w:rPr>
          <w:b/>
          <w:bCs/>
        </w:rPr>
        <w:t xml:space="preserve">Verdict: </w:t>
      </w:r>
      <w:r>
        <w:t>This bucket moderately justifies a premium. The physical capital intensity is near-zero, which is genuinely exceptional. But the human capital intensity (SBC + R&amp;D) is substantial and ongoing, and the company does not return excess cash to shareholders. A truly low-reinvestment-drag business would either require less ongoing R&amp;D to defend its position or would return surplus cash to owners.</w:t>
      </w:r>
    </w:p>
    <w:p w14:paraId="4DA7A770" w14:textId="77777777" w:rsidR="00131690" w:rsidRDefault="00000000">
      <w:pPr>
        <w:pStyle w:val="Heading2"/>
      </w:pPr>
      <w:r>
        <w:t>BUCKET 4: LOWER FRAGILITY OF CASH FLOWS</w:t>
      </w:r>
    </w:p>
    <w:p w14:paraId="33CF608F" w14:textId="77777777" w:rsidR="00131690" w:rsidRDefault="00000000">
      <w:pPr>
        <w:pStyle w:val="Heading3"/>
      </w:pPr>
      <w:r>
        <w:t>Main Mechanism: Recession-Resistant Regulatory Software with Fortress Balance Sheet</w:t>
      </w:r>
    </w:p>
    <w:p w14:paraId="35B824DE" w14:textId="77777777" w:rsidR="00131690" w:rsidRDefault="00000000">
      <w:pPr>
        <w:spacing w:after="120" w:line="276" w:lineRule="auto"/>
      </w:pPr>
      <w:r>
        <w:t>Veeva's cash flows are less fragile than a market-average business for three reasons. First, the regulated nature of life sciences software means that pharma companies cannot simply stop using Veeva during a downturn; doing so would risk regulatory non-compliance. Second, the subscription model creates recurring, contractually obligated revenue that is more predictable than transactional or project-based revenue. Third, the balance sheet is pristine: $6.6B in cash, zero debt, and a 4.89x current ratio provide extraordinary financial resilience. The company has never reported a year-over-year revenue decline since going public.</w:t>
      </w:r>
    </w:p>
    <w:p w14:paraId="746B2718" w14:textId="77777777" w:rsidR="00131690" w:rsidRDefault="00000000">
      <w:pPr>
        <w:pStyle w:val="Heading3"/>
      </w:pPr>
      <w:r>
        <w:t>Best Evidence</w:t>
      </w:r>
    </w:p>
    <w:p w14:paraId="4DC7CABD" w14:textId="77777777" w:rsidR="00131690" w:rsidRDefault="00000000">
      <w:pPr>
        <w:spacing w:after="120" w:line="276" w:lineRule="auto"/>
      </w:pPr>
      <w:r>
        <w:t xml:space="preserve">During the COVID-19 pandemic (FY2021, ending January 2021), Veeva's revenue grew 33%, demonstrating counter-cyclical demand as pharma companies accelerated digital adoption. The company's worst recent growth year was FY2024 at 9.7%, which was driven by Salesforce separation uncertainty rather than macro weakness. Even in </w:t>
      </w:r>
      <w:proofErr w:type="gramStart"/>
      <w:r>
        <w:t>that deceleration</w:t>
      </w:r>
      <w:proofErr w:type="gramEnd"/>
      <w:r>
        <w:t xml:space="preserve"> year, revenue still grew meaningfully. No negative revenue quarters or negative FCF quarters in the company's public history.</w:t>
      </w:r>
    </w:p>
    <w:p w14:paraId="04B99ACB" w14:textId="77777777" w:rsidR="00131690" w:rsidRDefault="00000000">
      <w:pPr>
        <w:pStyle w:val="Heading3"/>
      </w:pPr>
      <w:r>
        <w:t xml:space="preserve">Structural Limit / </w:t>
      </w:r>
      <w:proofErr w:type="gramStart"/>
      <w:r>
        <w:t>Counter-Evidence</w:t>
      </w:r>
      <w:proofErr w:type="gramEnd"/>
    </w:p>
    <w:p w14:paraId="5F7400F6" w14:textId="77777777" w:rsidR="00131690" w:rsidRDefault="00000000">
      <w:pPr>
        <w:spacing w:after="120" w:line="276" w:lineRule="auto"/>
      </w:pPr>
      <w:r>
        <w:t xml:space="preserve">Veeva's 94% revenue concentration in biopharma is a significant fragility factor. A pharmaceutical industry-specific downturn (patent cliffs, drug pipeline failures, regulatory crackdowns, or M&amp;A consolidation) would disproportionately affect Veeva relative to a diversified software company. The top 20 customers represent 38% of revenue, creating meaningful customer concentration. Additionally, while subscription revenue is contractually </w:t>
      </w:r>
      <w:r>
        <w:lastRenderedPageBreak/>
        <w:t>recurring, individual module expansions and new customer acquisitions can slow in pharma budget-cutting environments. The FY2024 deceleration to 9.7% growth illustrates that Veeva is not immune to spending caution, even if outright declines are improbable.</w:t>
      </w:r>
    </w:p>
    <w:p w14:paraId="0055C572" w14:textId="77777777" w:rsidR="00131690" w:rsidRDefault="00000000">
      <w:pPr>
        <w:pStyle w:val="Heading3"/>
      </w:pPr>
      <w:r>
        <w:t>What Investors May Be Over-Crediting</w:t>
      </w:r>
    </w:p>
    <w:p w14:paraId="7584655A" w14:textId="77777777" w:rsidR="00131690" w:rsidRDefault="00000000">
      <w:pPr>
        <w:spacing w:after="120" w:line="276" w:lineRule="auto"/>
      </w:pPr>
      <w:r>
        <w:t>Investors may equate Veeva's financial fortress (zero debt, $6.6B cash) with low business fragility. But balance sheet strength and business fragility are different concepts. The business fragility comes from vertical concentration: if something structurally disrupts pharmaceutical R&amp;D spending (e.g., major regulatory reform, industry-wide patent cliff, or a secular shift in drug development approaches), Veeva has no diversification to fall back on. The stock's drawdown from ~$340 in late 2021 to ~$150 in 2022 (a 56% decline) was driven by growth deceleration fears, demonstrating that the market perceives significant fragility in the growth trajectory even if revenue itself is stable.</w:t>
      </w:r>
    </w:p>
    <w:p w14:paraId="73311DB6" w14:textId="77777777" w:rsidR="00131690" w:rsidRDefault="00000000">
      <w:pPr>
        <w:spacing w:after="120" w:line="276" w:lineRule="auto"/>
      </w:pPr>
      <w:r>
        <w:rPr>
          <w:b/>
          <w:bCs/>
        </w:rPr>
        <w:t>Contribution to Premium: Moderate to Strong.</w:t>
      </w:r>
      <w:r>
        <w:t xml:space="preserve"> Cash flow fragility is genuinely lower than a market-average business due to regulatory stickiness, subscription revenue, and balance sheet strength. But single-vertical concentration is a real fragility that partially offsets these advantages.</w:t>
      </w:r>
    </w:p>
    <w:p w14:paraId="3E4DCC9F" w14:textId="77777777" w:rsidR="00131690" w:rsidRDefault="00000000">
      <w:pPr>
        <w:spacing w:after="120" w:line="276" w:lineRule="auto"/>
      </w:pPr>
      <w:r>
        <w:rPr>
          <w:b/>
          <w:bCs/>
        </w:rPr>
        <w:t xml:space="preserve">Verdict: </w:t>
      </w:r>
      <w:r>
        <w:t>This bucket justifies a moderate-to-strong premium. The regulatory nature of Veeva's software and the subscription model create structurally more predictable cash flows than a typical business. However, the extreme vertical concentration means that industry-specific shocks could damage the business in ways that a diversified company would absorb.</w:t>
      </w:r>
    </w:p>
    <w:p w14:paraId="49AFD331" w14:textId="77777777" w:rsidR="00131690" w:rsidRDefault="00000000">
      <w:pPr>
        <w:pStyle w:val="Heading2"/>
      </w:pPr>
      <w:r>
        <w:t>INVESTOR SYNTHESIS TABLE: VEEVA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2045"/>
        <w:gridCol w:w="2142"/>
        <w:gridCol w:w="1400"/>
        <w:gridCol w:w="2350"/>
      </w:tblGrid>
      <w:tr w:rsidR="00131690" w14:paraId="34793C42" w14:textId="77777777">
        <w:tblPrEx>
          <w:tblCellMar>
            <w:top w:w="0" w:type="dxa"/>
            <w:bottom w:w="0" w:type="dxa"/>
          </w:tblCellMar>
        </w:tblPrEx>
        <w:trPr>
          <w:tblHeader/>
        </w:trPr>
        <w:tc>
          <w:tcPr>
            <w:tcW w:w="1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7945DA0F" w14:textId="77777777" w:rsidR="00131690" w:rsidRDefault="00000000">
            <w:r>
              <w:rPr>
                <w:b/>
                <w:bCs/>
                <w:color w:val="FFFFFF"/>
                <w:sz w:val="20"/>
                <w:szCs w:val="20"/>
              </w:rPr>
              <w:t>Bucket</w:t>
            </w:r>
          </w:p>
        </w:tc>
        <w:tc>
          <w:tcPr>
            <w:tcW w:w="2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07CB7ACC" w14:textId="77777777" w:rsidR="00131690" w:rsidRDefault="00000000">
            <w:r>
              <w:rPr>
                <w:b/>
                <w:bCs/>
                <w:color w:val="FFFFFF"/>
                <w:sz w:val="20"/>
                <w:szCs w:val="20"/>
              </w:rPr>
              <w:t>Key Support</w:t>
            </w:r>
          </w:p>
        </w:tc>
        <w:tc>
          <w:tcPr>
            <w:tcW w:w="2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243295A4" w14:textId="77777777" w:rsidR="00131690" w:rsidRDefault="00000000">
            <w:r>
              <w:rPr>
                <w:b/>
                <w:bCs/>
                <w:color w:val="FFFFFF"/>
                <w:sz w:val="20"/>
                <w:szCs w:val="20"/>
              </w:rPr>
              <w:t>Key Limit</w:t>
            </w:r>
          </w:p>
        </w:tc>
        <w:tc>
          <w:tcPr>
            <w:tcW w:w="1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43A36A87" w14:textId="77777777" w:rsidR="00131690" w:rsidRDefault="00000000">
            <w:r>
              <w:rPr>
                <w:b/>
                <w:bCs/>
                <w:color w:val="FFFFFF"/>
                <w:sz w:val="20"/>
                <w:szCs w:val="20"/>
              </w:rPr>
              <w:t>Premium Contribution</w:t>
            </w:r>
          </w:p>
        </w:tc>
        <w:tc>
          <w:tcPr>
            <w:tcW w:w="256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6F3A8E7D" w14:textId="77777777" w:rsidR="00131690" w:rsidRDefault="00000000">
            <w:r>
              <w:rPr>
                <w:b/>
                <w:bCs/>
                <w:color w:val="FFFFFF"/>
                <w:sz w:val="20"/>
                <w:szCs w:val="20"/>
              </w:rPr>
              <w:t>Final Takeaway</w:t>
            </w:r>
          </w:p>
        </w:tc>
      </w:tr>
      <w:tr w:rsidR="00131690" w14:paraId="6B3F2A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098AB7" w14:textId="77777777" w:rsidR="00131690" w:rsidRDefault="00000000">
            <w:r>
              <w:rPr>
                <w:sz w:val="20"/>
                <w:szCs w:val="20"/>
              </w:rPr>
              <w:t>1. More Future Cash Flows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1B670C" w14:textId="77777777" w:rsidR="00131690" w:rsidRDefault="00000000">
            <w:r>
              <w:rPr>
                <w:sz w:val="20"/>
                <w:szCs w:val="20"/>
              </w:rPr>
              <w:t>15-16% organic growth; cross-sell into captive base; 119-124% NRR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4D05A8" w14:textId="77777777" w:rsidR="00131690" w:rsidRDefault="00000000">
            <w:r>
              <w:rPr>
                <w:sz w:val="20"/>
                <w:szCs w:val="20"/>
              </w:rPr>
              <w:t>Single-vertical TAM cap; FY2024 deceleration to 9.7%; Vault CRM migration is one-time catalyst</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DEF71E" w14:textId="77777777" w:rsidR="00131690" w:rsidRDefault="00000000">
            <w:r>
              <w:rPr>
                <w:sz w:val="20"/>
                <w:szCs w:val="20"/>
              </w:rPr>
              <w:t>Moderate</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BB01C1" w14:textId="77777777" w:rsidR="00131690" w:rsidRDefault="00000000">
            <w:r>
              <w:rPr>
                <w:sz w:val="20"/>
                <w:szCs w:val="20"/>
              </w:rPr>
              <w:t>Real growth but structurally bounded by life sciences focus</w:t>
            </w:r>
          </w:p>
        </w:tc>
      </w:tr>
      <w:tr w:rsidR="00131690" w14:paraId="2D1B28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494F82" w14:textId="77777777" w:rsidR="00131690" w:rsidRDefault="00000000">
            <w:r>
              <w:rPr>
                <w:sz w:val="20"/>
                <w:szCs w:val="20"/>
              </w:rPr>
              <w:t>2. Longer Duration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7C15B4" w14:textId="77777777" w:rsidR="00131690" w:rsidRDefault="00000000">
            <w:r>
              <w:rPr>
                <w:sz w:val="20"/>
                <w:szCs w:val="20"/>
              </w:rPr>
              <w:t>Regulatory validation switching costs; 47/50 top pharma as customers; multi-module lock-in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596E63" w14:textId="77777777" w:rsidR="00131690" w:rsidRDefault="00000000">
            <w:r>
              <w:rPr>
                <w:sz w:val="20"/>
                <w:szCs w:val="20"/>
              </w:rPr>
              <w:t xml:space="preserve">Salesforce competitive entry signed </w:t>
            </w:r>
            <w:proofErr w:type="gramStart"/>
            <w:r>
              <w:rPr>
                <w:sz w:val="20"/>
                <w:szCs w:val="20"/>
              </w:rPr>
              <w:t>top-3</w:t>
            </w:r>
            <w:proofErr w:type="gramEnd"/>
            <w:r>
              <w:rPr>
                <w:sz w:val="20"/>
                <w:szCs w:val="20"/>
              </w:rPr>
              <w:t xml:space="preserve"> pharma; CRM side less regulated than R&amp;D</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EC9731" w14:textId="77777777" w:rsidR="00131690" w:rsidRDefault="00000000">
            <w:r>
              <w:rPr>
                <w:sz w:val="20"/>
                <w:szCs w:val="20"/>
              </w:rPr>
              <w:t>Strong</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711ABA" w14:textId="77777777" w:rsidR="00131690" w:rsidRDefault="00000000">
            <w:r>
              <w:rPr>
                <w:sz w:val="20"/>
                <w:szCs w:val="20"/>
              </w:rPr>
              <w:t xml:space="preserve">Dominant </w:t>
            </w:r>
            <w:proofErr w:type="gramStart"/>
            <w:r>
              <w:rPr>
                <w:sz w:val="20"/>
                <w:szCs w:val="20"/>
              </w:rPr>
              <w:t>bucket;</w:t>
            </w:r>
            <w:proofErr w:type="gramEnd"/>
            <w:r>
              <w:rPr>
                <w:sz w:val="20"/>
                <w:szCs w:val="20"/>
              </w:rPr>
              <w:t xml:space="preserve"> regulated switching costs are among the most durable in software</w:t>
            </w:r>
          </w:p>
        </w:tc>
      </w:tr>
      <w:tr w:rsidR="00131690" w14:paraId="029FD0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E5117" w14:textId="77777777" w:rsidR="00131690" w:rsidRDefault="00000000">
            <w:r>
              <w:rPr>
                <w:sz w:val="20"/>
                <w:szCs w:val="20"/>
              </w:rPr>
              <w:t>3. Lower Reinvestment Drag</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7980ED" w14:textId="77777777" w:rsidR="00131690" w:rsidRDefault="00000000">
            <w:r>
              <w:rPr>
                <w:sz w:val="20"/>
                <w:szCs w:val="20"/>
              </w:rPr>
              <w:t>Capex &lt;1% of revenue; 39-44% FCF margin; zero debt; $6.6B cash</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53C5F6" w14:textId="77777777" w:rsidR="00131690" w:rsidRDefault="00000000">
            <w:r>
              <w:rPr>
                <w:sz w:val="20"/>
                <w:szCs w:val="20"/>
              </w:rPr>
              <w:t>SBC at 16% of revenue; R&amp;D at 25% of revenue; no shareholder returns (no buyback/dividend)</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DE3B3F" w14:textId="77777777" w:rsidR="00131690" w:rsidRDefault="00000000">
            <w:r>
              <w:rPr>
                <w:sz w:val="20"/>
                <w:szCs w:val="20"/>
              </w:rPr>
              <w:t>Moderate</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93A14C" w14:textId="77777777" w:rsidR="00131690" w:rsidRDefault="00000000">
            <w:r>
              <w:rPr>
                <w:sz w:val="20"/>
                <w:szCs w:val="20"/>
              </w:rPr>
              <w:t>Physical capex is near-</w:t>
            </w:r>
            <w:proofErr w:type="gramStart"/>
            <w:r>
              <w:rPr>
                <w:sz w:val="20"/>
                <w:szCs w:val="20"/>
              </w:rPr>
              <w:t>zero</w:t>
            </w:r>
            <w:proofErr w:type="gramEnd"/>
            <w:r>
              <w:rPr>
                <w:sz w:val="20"/>
                <w:szCs w:val="20"/>
              </w:rPr>
              <w:t xml:space="preserve"> but human capital costs and SBC are substantial ongoing drags</w:t>
            </w:r>
          </w:p>
        </w:tc>
      </w:tr>
      <w:tr w:rsidR="00131690" w14:paraId="4F0AC5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0AE505" w14:textId="77777777" w:rsidR="00131690" w:rsidRDefault="00000000">
            <w:r>
              <w:rPr>
                <w:sz w:val="20"/>
                <w:szCs w:val="20"/>
              </w:rPr>
              <w:t>4. Lower Fragility</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00D658" w14:textId="77777777" w:rsidR="00131690" w:rsidRDefault="00000000">
            <w:r>
              <w:rPr>
                <w:sz w:val="20"/>
                <w:szCs w:val="20"/>
              </w:rPr>
              <w:t xml:space="preserve">Never had a revenue decline; regulatory revenue </w:t>
            </w:r>
            <w:r>
              <w:rPr>
                <w:sz w:val="20"/>
                <w:szCs w:val="20"/>
              </w:rPr>
              <w:lastRenderedPageBreak/>
              <w:t>stickiness; fortress balance sheet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2BE387" w14:textId="77777777" w:rsidR="00131690" w:rsidRDefault="00000000">
            <w:r>
              <w:rPr>
                <w:sz w:val="20"/>
                <w:szCs w:val="20"/>
              </w:rPr>
              <w:lastRenderedPageBreak/>
              <w:t xml:space="preserve">94% biopharma concentration; 38% from top 20 customers; 56% </w:t>
            </w:r>
            <w:r>
              <w:rPr>
                <w:sz w:val="20"/>
                <w:szCs w:val="20"/>
              </w:rPr>
              <w:lastRenderedPageBreak/>
              <w:t>stock drawdown in 2022</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C4B205" w14:textId="77777777" w:rsidR="00131690" w:rsidRDefault="00000000">
            <w:r>
              <w:rPr>
                <w:sz w:val="20"/>
                <w:szCs w:val="20"/>
              </w:rPr>
              <w:lastRenderedPageBreak/>
              <w:t>Moderate to Strong</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EE4CF3" w14:textId="77777777" w:rsidR="00131690" w:rsidRDefault="00000000">
            <w:r>
              <w:rPr>
                <w:sz w:val="20"/>
                <w:szCs w:val="20"/>
              </w:rPr>
              <w:t>Cash flows are recession-resistant but not industry-shock-resistant</w:t>
            </w:r>
          </w:p>
        </w:tc>
      </w:tr>
    </w:tbl>
    <w:p w14:paraId="6B50DE17" w14:textId="77777777" w:rsidR="00131690" w:rsidRDefault="00131690">
      <w:pPr>
        <w:spacing w:after="100" w:line="276" w:lineRule="auto"/>
      </w:pPr>
    </w:p>
    <w:p w14:paraId="186510EB" w14:textId="77777777" w:rsidR="00131690" w:rsidRDefault="00000000">
      <w:pPr>
        <w:spacing w:after="120" w:line="276" w:lineRule="auto"/>
      </w:pPr>
      <w:r>
        <w:rPr>
          <w:b/>
          <w:bCs/>
          <w:sz w:val="24"/>
          <w:szCs w:val="24"/>
        </w:rPr>
        <w:t>Final Classification: Large Premium.</w:t>
      </w:r>
      <w:r>
        <w:t xml:space="preserve"> Veeva's earnings deserve a meaningfully higher multiple than a market-average business, driven primarily by exceptional duration (regulatory switching costs) and moderately by growth, reinvestment efficiency, and resilience. The business does not deserve an Extreme premium because future growth is structurally capped by its single-vertical focus, SBC dilution reduces true owner cash flows, and the Salesforce competitive entry introduces a duration risk that did not exist previously. To merit an Extreme premium, Veeva would need either a credible multi-vertical expansion or a substantial reduction in SBC dilution alongside sustained 20%+ organic growth.</w:t>
      </w:r>
    </w:p>
    <w:p w14:paraId="7846C4E2" w14:textId="77777777" w:rsidR="00131690" w:rsidRDefault="00000000">
      <w:pPr>
        <w:pStyle w:val="Heading1"/>
        <w:pageBreakBefore/>
      </w:pPr>
      <w:r>
        <w:lastRenderedPageBreak/>
        <w:t>EMCOR GROUP (EME)</w:t>
      </w:r>
    </w:p>
    <w:p w14:paraId="4DFC172C" w14:textId="77777777" w:rsidR="00131690" w:rsidRDefault="00000000">
      <w:pPr>
        <w:pStyle w:val="Heading2"/>
      </w:pPr>
      <w:r>
        <w:t>EXECUTIVE SUMMARY</w:t>
      </w:r>
    </w:p>
    <w:p w14:paraId="5B11E39A" w14:textId="77777777" w:rsidR="00131690" w:rsidRDefault="00000000">
      <w:pPr>
        <w:spacing w:after="120" w:line="276" w:lineRule="auto"/>
      </w:pPr>
      <w:r>
        <w:rPr>
          <w:b/>
          <w:bCs/>
        </w:rPr>
        <w:t>Overall Premium Category: Small to Medium Premium.</w:t>
      </w:r>
      <w:r>
        <w:t xml:space="preserve"> EMCOR is the largest specialty contractor in North America with exceptional recent execution, record margins, and strong secular tailwinds from data center and semiconductor construction. However, the business operates in a structurally challenging industry (fragmented, cyclical, labor-intensive, project-based) that limits the durability of above-average economics. The current period of exceptional margins and growth may represent a cyclical peak rather than a permanent improvement in business quality.</w:t>
      </w:r>
    </w:p>
    <w:p w14:paraId="58556502" w14:textId="77777777" w:rsidR="00131690" w:rsidRDefault="00000000">
      <w:pPr>
        <w:spacing w:after="120" w:line="276" w:lineRule="auto"/>
      </w:pPr>
      <w:r>
        <w:rPr>
          <w:b/>
          <w:bCs/>
        </w:rPr>
        <w:t xml:space="preserve">Dominant Bucket: </w:t>
      </w:r>
      <w:r>
        <w:t>More Future Owner Cash Flows. EMCOR's near-term growth visibility is exceptional: $12.6B in remaining performance obligations (+29% YoY), driven by multi-year data center and semiconductor construction cycles. Revenue guidance of $17.75-18.50B for 2026 represents continued strong growth. The data center buildout is a genuine multi-year tailwind with 3-5 years of visibility.</w:t>
      </w:r>
    </w:p>
    <w:p w14:paraId="5F10E44D" w14:textId="77777777" w:rsidR="00131690" w:rsidRDefault="00000000">
      <w:pPr>
        <w:spacing w:after="120" w:line="276" w:lineRule="auto"/>
      </w:pPr>
      <w:r>
        <w:rPr>
          <w:b/>
          <w:bCs/>
        </w:rPr>
        <w:t xml:space="preserve">Weakest / Most Overstated Bucket: </w:t>
      </w:r>
      <w:r>
        <w:t xml:space="preserve">Longer Duration of Cash Flows. Specialty contracting is inherently a project-based business with limited structural switching costs. While EMCOR benefits from prequalification requirements and customer relationships with </w:t>
      </w:r>
      <w:proofErr w:type="spellStart"/>
      <w:r>
        <w:t>hyperscalers</w:t>
      </w:r>
      <w:proofErr w:type="spellEnd"/>
      <w:r>
        <w:t>, each project is competitively bid, and customers have no contractual obligation to award future work. The industry is highly fragmented with low barriers to entry in most segments. EMCOR's current market position, while strong, is not structurally defensible in the way that a subscription-based or patent-protected business would be.</w:t>
      </w:r>
    </w:p>
    <w:p w14:paraId="2613515D" w14:textId="77777777" w:rsidR="00131690" w:rsidRDefault="00000000">
      <w:pPr>
        <w:spacing w:after="120" w:line="276" w:lineRule="auto"/>
      </w:pPr>
      <w:r>
        <w:rPr>
          <w:b/>
          <w:bCs/>
        </w:rPr>
        <w:t xml:space="preserve">Strongest reason it does NOT deserve a Large Premium: </w:t>
      </w:r>
      <w:r>
        <w:t xml:space="preserve">The business is fundamentally cyclical and </w:t>
      </w:r>
      <w:proofErr w:type="gramStart"/>
      <w:r>
        <w:t>project-dependent</w:t>
      </w:r>
      <w:proofErr w:type="gramEnd"/>
      <w:r>
        <w:t>. EMCOR's net income declined 59% in 2020 and the company posted a quarterly loss during COVID. The 2008-2010 period was described by management as 'one of the most dangerous and difficult years' in company history. Current record margins (9.3% operating, heading toward 10%+) benefit from favorable project mix and pricing power that are cyclical, not structural. When data center capex eventually normalizes and construction spending softens, margins and growth will revert. A truly premium business does not have this kind of downside variance in its earnings.</w:t>
      </w:r>
    </w:p>
    <w:p w14:paraId="4E252C22" w14:textId="77777777" w:rsidR="00131690" w:rsidRDefault="00000000">
      <w:pPr>
        <w:pStyle w:val="Heading2"/>
      </w:pPr>
      <w:r>
        <w:t>BUSINESS MODEL &amp; CORE ECONOMICS</w:t>
      </w:r>
    </w:p>
    <w:p w14:paraId="031AFBE8" w14:textId="77777777" w:rsidR="00131690" w:rsidRDefault="00000000">
      <w:pPr>
        <w:spacing w:after="120" w:line="276" w:lineRule="auto"/>
      </w:pPr>
      <w:r>
        <w:t>EMCOR Group is the largest specialty contractor in North America, providing electrical and mechanical construction, building services, and industrial services. The company generated $17.0B in revenue in 2025 (+16.6% YoY) with operating income margins that expanded from 7.0% in 2023 to 9.2% in 2024 and continued improving through 2025. Revenue breaks down as: U.S. Mechanical Construction (~44%), U.S. Electrical Construction (~20%), U.S. Building Services (~24%), and U.S. Industrial Services (~9%). The company operates with approximately 60% unionized workforce across the United States.</w:t>
      </w:r>
    </w:p>
    <w:p w14:paraId="3D3EA7CE" w14:textId="77777777" w:rsidR="00131690" w:rsidRDefault="00000000">
      <w:pPr>
        <w:spacing w:after="120" w:line="276" w:lineRule="auto"/>
      </w:pPr>
      <w:r>
        <w:t xml:space="preserve">The structural limit on EMCOR's economics is that it sells labor hours on projects. Unlike a software company with zero marginal cost, every incremental dollar of EMCOR revenue </w:t>
      </w:r>
      <w:r>
        <w:lastRenderedPageBreak/>
        <w:t>requires recruiting, managing, and deploying skilled tradespeople. The business has no recurring subscription revenue; each project must be won through competitive bidding. Margins are determined by the spread between bid prices and actual project costs, which is inherently uncertain due to labor availability, material costs, and execution risk. The company's scale advantage is real but does not eliminate these fundamental constraints.</w:t>
      </w:r>
    </w:p>
    <w:p w14:paraId="27B87058" w14:textId="77777777" w:rsidR="00131690" w:rsidRDefault="00000000">
      <w:pPr>
        <w:pStyle w:val="Heading2"/>
      </w:pPr>
      <w:r>
        <w:t>BUCKET 1: MORE FUTURE OWNER CASH FLOWS</w:t>
      </w:r>
    </w:p>
    <w:p w14:paraId="69BA96AA" w14:textId="77777777" w:rsidR="00131690" w:rsidRDefault="00000000">
      <w:pPr>
        <w:pStyle w:val="Heading3"/>
      </w:pPr>
      <w:r>
        <w:t>Main Mechanism: Data Center / Infrastructure Secular Tailwinds Creating Multi-Year Demand Visibility</w:t>
      </w:r>
    </w:p>
    <w:p w14:paraId="3632E887" w14:textId="77777777" w:rsidR="00131690" w:rsidRDefault="00000000">
      <w:pPr>
        <w:spacing w:after="120" w:line="276" w:lineRule="auto"/>
      </w:pPr>
      <w:r>
        <w:t>EMCOR's growth story is driven by a confluence of secular demand tailwinds that are genuinely unusual in magnitude and duration for the construction industry. Data center construction for AI/cloud computing has driven the networking/communications backlog to ~$4.3B (up 55-60% YoY). Semiconductor reshoring under the CHIPS Act is creating new fab construction demand (Intel, TSMC, Samsung facilities in the U.S.). Federal infrastructure spending under the Infrastructure Investment and Jobs Act and Inflation Reduction Act provides additional demand. These tailwinds are not EMCOR-specific; they benefit the entire industry. But EMCOR's scale allows it to capture a disproportionate share of the largest, most complex projects.</w:t>
      </w:r>
    </w:p>
    <w:p w14:paraId="5A0F44AE" w14:textId="77777777" w:rsidR="00131690" w:rsidRDefault="00000000">
      <w:pPr>
        <w:pStyle w:val="Heading3"/>
      </w:pPr>
      <w:r>
        <w:t>Best Evidence</w:t>
      </w:r>
    </w:p>
    <w:p w14:paraId="16CAA58C" w14:textId="77777777" w:rsidR="00131690" w:rsidRDefault="00000000">
      <w:pPr>
        <w:spacing w:after="120" w:line="276" w:lineRule="auto"/>
      </w:pPr>
      <w:r>
        <w:t xml:space="preserve">Remaining performance obligations of $12.6B represent roughly 10 months of revenue at current run rates. Revenue has grown at </w:t>
      </w:r>
      <w:proofErr w:type="gramStart"/>
      <w:r>
        <w:t>a 14</w:t>
      </w:r>
      <w:proofErr w:type="gramEnd"/>
      <w:r>
        <w:t>% CAGR from 2020-2025. Operating margins expanded from 5.9% (2022) to 9.3% (2024), driven by favorable project mix (data center work at 12-14% margins vs. 5-6% for routine building services). FY2025 revenue hit a record $17.0B. Management guided 2026 revenue of $17.75-18.50B with operating margins of 9.0-9.4%. The Miller Electric acquisition ($865M) adds ~$500M+ annual revenue in the high-growth Southeast region. Free cash flow jumped 60% to $1.34B in 2024, demonstrating that margin expansion is translating to cash.</w:t>
      </w:r>
    </w:p>
    <w:p w14:paraId="773DB9A2" w14:textId="77777777" w:rsidR="00131690" w:rsidRDefault="00000000">
      <w:pPr>
        <w:pStyle w:val="Heading3"/>
      </w:pPr>
      <w:r>
        <w:t xml:space="preserve">Structural Limit / </w:t>
      </w:r>
      <w:proofErr w:type="gramStart"/>
      <w:r>
        <w:t>Counter-Evidence</w:t>
      </w:r>
      <w:proofErr w:type="gramEnd"/>
    </w:p>
    <w:p w14:paraId="16076A86" w14:textId="77777777" w:rsidR="00131690" w:rsidRDefault="00000000">
      <w:pPr>
        <w:spacing w:after="120" w:line="276" w:lineRule="auto"/>
      </w:pPr>
      <w:r>
        <w:t xml:space="preserve">Data center construction is a cyclical capex wave, not a permanent state. </w:t>
      </w:r>
      <w:proofErr w:type="spellStart"/>
      <w:r>
        <w:t>Hyperscaler</w:t>
      </w:r>
      <w:proofErr w:type="spellEnd"/>
      <w:r>
        <w:t xml:space="preserve"> capital spending is notoriously lumpy; when AI return-on-investment expectations are eventually recalibrated, capex could slow dramatically, as has happened in prior technology spending cycles. The 2026 guidance range of $17.75-18.50B implies 3.8-9.1% growth, a significant deceleration from 16.6% in 2025. Management's wide guidance range itself signals uncertainty about backlog conversion timing. EMCOR cannot control when customers release projects for construction. Semiconductor fab construction timelines have already stretched due to permitting and supply chain issues. EMCOR's growth is essentially derivative of its customers' capital spending decisions.</w:t>
      </w:r>
    </w:p>
    <w:p w14:paraId="358E5519" w14:textId="77777777" w:rsidR="00131690" w:rsidRDefault="00000000">
      <w:pPr>
        <w:pStyle w:val="Heading3"/>
      </w:pPr>
      <w:r>
        <w:t>What Investors May Be Over-Crediting</w:t>
      </w:r>
    </w:p>
    <w:p w14:paraId="30635F53" w14:textId="77777777" w:rsidR="00131690" w:rsidRDefault="00000000">
      <w:pPr>
        <w:spacing w:after="120" w:line="276" w:lineRule="auto"/>
      </w:pPr>
      <w:r>
        <w:t xml:space="preserve">Investors may be treating EMCOR's current growth rate and margins as structural rather than cyclical. The company's 5-year revenue CAGR of 14% and margin expansion to 9.3% are both well above historical norms for specialty contractors. If investors extrapolate these trends </w:t>
      </w:r>
      <w:r>
        <w:lastRenderedPageBreak/>
        <w:t>without recognizing the cyclical component, they will overpay. The 25.7x trailing P/E is pricing in sustained above-average growth that history suggests construction companies rarely deliver over a full cycle. The data center narrative is powerful but not permanent.</w:t>
      </w:r>
    </w:p>
    <w:p w14:paraId="6F4CB250" w14:textId="77777777" w:rsidR="00131690" w:rsidRDefault="00000000">
      <w:pPr>
        <w:spacing w:after="120" w:line="276" w:lineRule="auto"/>
      </w:pPr>
      <w:r>
        <w:rPr>
          <w:b/>
          <w:bCs/>
        </w:rPr>
        <w:t>Contribution to Premium: Moderate.</w:t>
      </w:r>
      <w:r>
        <w:t xml:space="preserve"> Near-term growth visibility is genuinely </w:t>
      </w:r>
      <w:proofErr w:type="gramStart"/>
      <w:r>
        <w:t>above-average</w:t>
      </w:r>
      <w:proofErr w:type="gramEnd"/>
      <w:r>
        <w:t xml:space="preserve"> due to secular tailwinds and record backlog. But growth is derivative of customer capex decisions and will normalize when the data center buildout matures. The growth runway is real but cyclical, not structural.</w:t>
      </w:r>
    </w:p>
    <w:p w14:paraId="6C61ABFC" w14:textId="77777777" w:rsidR="00131690" w:rsidRDefault="00000000">
      <w:pPr>
        <w:spacing w:after="120" w:line="276" w:lineRule="auto"/>
      </w:pPr>
      <w:r>
        <w:rPr>
          <w:b/>
          <w:bCs/>
        </w:rPr>
        <w:t xml:space="preserve">Verdict: </w:t>
      </w:r>
      <w:r>
        <w:t xml:space="preserve">This bucket moderately justifies a premium. EMCOR's </w:t>
      </w:r>
      <w:proofErr w:type="gramStart"/>
      <w:r>
        <w:t>3-5 year</w:t>
      </w:r>
      <w:proofErr w:type="gramEnd"/>
      <w:r>
        <w:t xml:space="preserve"> growth visibility exceeds that of a </w:t>
      </w:r>
      <w:proofErr w:type="gramStart"/>
      <w:r>
        <w:t>market-average</w:t>
      </w:r>
      <w:proofErr w:type="gramEnd"/>
      <w:r>
        <w:t xml:space="preserve"> business. But the premium should be calibrated to the cyclical nature of the demand, not extrapolated as a permanent condition.</w:t>
      </w:r>
    </w:p>
    <w:p w14:paraId="7A0FC560" w14:textId="77777777" w:rsidR="00131690" w:rsidRDefault="00000000">
      <w:pPr>
        <w:pStyle w:val="Heading2"/>
      </w:pPr>
      <w:r>
        <w:t>BUCKET 2: LONGER DURATION OF CASH FLOWS</w:t>
      </w:r>
    </w:p>
    <w:p w14:paraId="4A13E431" w14:textId="77777777" w:rsidR="00131690" w:rsidRDefault="00000000">
      <w:pPr>
        <w:pStyle w:val="Heading3"/>
      </w:pPr>
      <w:r>
        <w:t>Main Mechanism: Prequalification Barriers and Scale-Based Relationship Advantages</w:t>
      </w:r>
    </w:p>
    <w:p w14:paraId="7826106D" w14:textId="77777777" w:rsidR="00131690" w:rsidRDefault="00000000">
      <w:pPr>
        <w:spacing w:after="120" w:line="276" w:lineRule="auto"/>
      </w:pPr>
      <w:r>
        <w:t xml:space="preserve">EMCOR's argument for duration is that its scale, technical capability, and prequalification status with major customers create a self-reinforcing advantage. </w:t>
      </w:r>
      <w:proofErr w:type="spellStart"/>
      <w:r>
        <w:t>Hyperscalers</w:t>
      </w:r>
      <w:proofErr w:type="spellEnd"/>
      <w:r>
        <w:t xml:space="preserve"> like Microsoft, Meta, and Google require contractors who can demonstrate financial capacity (bonding), technical expertise (virtual design and construction capabilities), safety track records, and geographic reach. EMCOR meets these requirements better than most competitors due to its size. Once qualified, EMCOR benefits from repeat business because customers prefer known, reliable contractors for mission-critical infrastructure.</w:t>
      </w:r>
    </w:p>
    <w:p w14:paraId="675123A0" w14:textId="77777777" w:rsidR="00131690" w:rsidRDefault="00000000">
      <w:pPr>
        <w:pStyle w:val="Heading3"/>
      </w:pPr>
      <w:r>
        <w:t>Best Evidence</w:t>
      </w:r>
    </w:p>
    <w:p w14:paraId="2ED09F0C" w14:textId="77777777" w:rsidR="00131690" w:rsidRDefault="00000000">
      <w:pPr>
        <w:spacing w:after="120" w:line="276" w:lineRule="auto"/>
      </w:pPr>
      <w:r>
        <w:t>EMCOR's scale is unmatched among specialty contractors; no competitor approaches its $17B+ revenue base. The company has invested in VDC (virtual design and construction) technology that improves execution on complex projects. The building services segment (~24% of revenue) provides recurring maintenance revenue that creates ongoing customer relationships. Management has delivered consistent margin improvement over multiple years, suggesting operational discipline that competitors may not replicate.</w:t>
      </w:r>
    </w:p>
    <w:p w14:paraId="147254BF" w14:textId="77777777" w:rsidR="00131690" w:rsidRDefault="00000000">
      <w:pPr>
        <w:pStyle w:val="Heading3"/>
      </w:pPr>
      <w:r>
        <w:t xml:space="preserve">Structural Limit / </w:t>
      </w:r>
      <w:proofErr w:type="gramStart"/>
      <w:r>
        <w:t>Counter-Evidence</w:t>
      </w:r>
      <w:proofErr w:type="gramEnd"/>
    </w:p>
    <w:p w14:paraId="0129DE82" w14:textId="77777777" w:rsidR="00131690" w:rsidRDefault="00000000">
      <w:pPr>
        <w:spacing w:after="120" w:line="276" w:lineRule="auto"/>
      </w:pPr>
      <w:r>
        <w:t xml:space="preserve">The specialty contracting industry is highly fragmented with thousands of competitors. Barriers to entry are low for most segments; a skilled electrician or mechanical contractor can start a business with minimal capital. EMCOR's prequalification advantage is real for the largest projects but irrelevant for </w:t>
      </w:r>
      <w:proofErr w:type="gramStart"/>
      <w:r>
        <w:t>the majority of</w:t>
      </w:r>
      <w:proofErr w:type="gramEnd"/>
      <w:r>
        <w:t xml:space="preserve"> construction work. There are no patents, no proprietary technology, no contractual lock-in, and no switching costs in the traditional sense. Every project is competitively bid. EMCOR's market share of the total specialty contracting market is in low single digits despite being the largest player. The company's 2020 net income decline of 59% demonstrates that earnings duration is limited; when demand drops, there is no contractual floor under revenue.</w:t>
      </w:r>
    </w:p>
    <w:p w14:paraId="3E49E0C4" w14:textId="77777777" w:rsidR="00131690" w:rsidRDefault="00000000">
      <w:pPr>
        <w:pStyle w:val="Heading3"/>
      </w:pPr>
      <w:r>
        <w:t>What Investors May Be Over-Crediting</w:t>
      </w:r>
    </w:p>
    <w:p w14:paraId="33409A3E" w14:textId="77777777" w:rsidR="00131690" w:rsidRDefault="00000000">
      <w:pPr>
        <w:spacing w:after="120" w:line="276" w:lineRule="auto"/>
      </w:pPr>
      <w:r>
        <w:lastRenderedPageBreak/>
        <w:t>Investors may be confusing EMCOR's current strong execution and customer relationships with structural durability. In construction, relationships matter but do not create the kind of contractual lock-in that subscription software or regulated utilities provide. Every year, EMCOR must re-win its revenue through competitive bidding. The building services segment provides some recurring revenue, but at 24% of total revenue and 5-6% operating margins, it is the lowest-margin segment and does not drive the premium economics.</w:t>
      </w:r>
    </w:p>
    <w:p w14:paraId="506A1610" w14:textId="77777777" w:rsidR="00131690" w:rsidRDefault="00000000">
      <w:pPr>
        <w:spacing w:after="120" w:line="276" w:lineRule="auto"/>
      </w:pPr>
      <w:r>
        <w:rPr>
          <w:b/>
          <w:bCs/>
        </w:rPr>
        <w:t>Contribution to Premium: Weak.</w:t>
      </w:r>
      <w:r>
        <w:t xml:space="preserve"> EMCOR has real scale advantages and prequalification barriers for the largest projects, but these do not create structural duration in the way that subscription revenue, patents, or regulatory switching costs do. The business must re-earn its revenue every year through competitive bidding.</w:t>
      </w:r>
    </w:p>
    <w:p w14:paraId="10DD3FFA" w14:textId="77777777" w:rsidR="00131690" w:rsidRDefault="00000000">
      <w:pPr>
        <w:spacing w:after="120" w:line="276" w:lineRule="auto"/>
      </w:pPr>
      <w:r>
        <w:rPr>
          <w:b/>
          <w:bCs/>
        </w:rPr>
        <w:t xml:space="preserve">Verdict: </w:t>
      </w:r>
      <w:r>
        <w:t xml:space="preserve">This bucket does not strongly justify a premium over a market-average business. While EMCOR's scale creates some competitive advantages, the project-based, competitively bid nature of the business means that cash-flow duration is fundamentally limited. A market-average business with multi-year contracts or subscription revenue may </w:t>
      </w:r>
      <w:proofErr w:type="gramStart"/>
      <w:r>
        <w:t>actually have</w:t>
      </w:r>
      <w:proofErr w:type="gramEnd"/>
      <w:r>
        <w:t xml:space="preserve"> better duration characteristics.</w:t>
      </w:r>
    </w:p>
    <w:p w14:paraId="12EC1D55" w14:textId="77777777" w:rsidR="00131690" w:rsidRDefault="00000000">
      <w:pPr>
        <w:pStyle w:val="Heading2"/>
      </w:pPr>
      <w:r>
        <w:t>BUCKET 3: LOWER REINVESTMENT DRAG</w:t>
      </w:r>
    </w:p>
    <w:p w14:paraId="072E129C" w14:textId="77777777" w:rsidR="00131690" w:rsidRDefault="00000000">
      <w:pPr>
        <w:pStyle w:val="Heading3"/>
      </w:pPr>
      <w:r>
        <w:t>Main Mechanism: Low Physical Capex with Strong FCF Conversion</w:t>
      </w:r>
    </w:p>
    <w:p w14:paraId="0D8C9E27" w14:textId="77777777" w:rsidR="00131690" w:rsidRDefault="00000000">
      <w:pPr>
        <w:spacing w:after="120" w:line="276" w:lineRule="auto"/>
      </w:pPr>
      <w:r>
        <w:t>EMCOR's capital expenditure requirements are genuinely minimal for a business of its size. Capex was $75M in 2024, or roughly 0.5% of revenue. The company does not own heavy equipment fleets, manufacturing facilities, or real estate portfolios. Most tools and equipment are project-specific and relatively inexpensive. Working capital management has improved, with FCF jumping from $835M in 2023 to $1.34B in 2024 (60% increase). ROIC of 27.4% and ROE of ~34% demonstrate efficient capital deployment. The company returns capital through dividends (recently raised 60% to $0.40/quarter) and share repurchases ($500M new authorization).</w:t>
      </w:r>
    </w:p>
    <w:p w14:paraId="669BE979" w14:textId="77777777" w:rsidR="00131690" w:rsidRDefault="00000000">
      <w:pPr>
        <w:pStyle w:val="Heading3"/>
      </w:pPr>
      <w:r>
        <w:t>Best Evidence</w:t>
      </w:r>
    </w:p>
    <w:p w14:paraId="0658C6B7" w14:textId="77777777" w:rsidR="00131690" w:rsidRDefault="00000000">
      <w:pPr>
        <w:spacing w:after="120" w:line="276" w:lineRule="auto"/>
      </w:pPr>
      <w:r>
        <w:t>Capex consistently below 1% of revenue for the past five years. FCF margin expanded from 6.6% (2023) to 9.2% (2024), demonstrating that margin expansion translates to cash. The balance sheet is clean: ~$1.1B cash, minimal debt, 0.2% debt-to-capitalization. The M&amp;A strategy is disciplined; the company makes bolt-on acquisitions at reasonable prices rather than transformational deals. Capital allocation is shareholder-friendly and improving (dividend increase + buyback authorization).</w:t>
      </w:r>
    </w:p>
    <w:p w14:paraId="16CC0258" w14:textId="77777777" w:rsidR="00131690" w:rsidRDefault="00000000">
      <w:pPr>
        <w:pStyle w:val="Heading3"/>
      </w:pPr>
      <w:r>
        <w:t xml:space="preserve">Structural Limit / </w:t>
      </w:r>
      <w:proofErr w:type="gramStart"/>
      <w:r>
        <w:t>Counter-Evidence</w:t>
      </w:r>
      <w:proofErr w:type="gramEnd"/>
    </w:p>
    <w:p w14:paraId="2B82B5B9" w14:textId="77777777" w:rsidR="00131690" w:rsidRDefault="00000000">
      <w:pPr>
        <w:spacing w:after="120" w:line="276" w:lineRule="auto"/>
      </w:pPr>
      <w:r>
        <w:t xml:space="preserve">While physical capex is low, the real reinvestment in a contracting business is human capital: recruiting, training, and retaining skilled tradespeople. The labor cost is embedded in COGS, not capex, making the reinvestment drag appear lower than it truly is. EMCOR's 19% gross margin means 81 cents of every revenue dollar goes to direct project costs (primarily labor and materials). This is fundamentally different from a software company where gross margins are 70-80%. The business requires constant reinvestment in workforce development, safety </w:t>
      </w:r>
      <w:r>
        <w:lastRenderedPageBreak/>
        <w:t>programs, and training to maintain its competitive position. Additionally, the M&amp;A strategy, while disciplined, represents ongoing capital deployment (Miller Electric at $865M, seven acquisitions for $230M in 2024) that reduces cash available to shareholders.</w:t>
      </w:r>
    </w:p>
    <w:p w14:paraId="5082462F" w14:textId="77777777" w:rsidR="00131690" w:rsidRDefault="00000000">
      <w:pPr>
        <w:pStyle w:val="Heading3"/>
      </w:pPr>
      <w:r>
        <w:t>What Investors May Be Over-Crediting</w:t>
      </w:r>
    </w:p>
    <w:p w14:paraId="30CB59F5" w14:textId="77777777" w:rsidR="00131690" w:rsidRDefault="00000000">
      <w:pPr>
        <w:spacing w:after="120" w:line="276" w:lineRule="auto"/>
      </w:pPr>
      <w:r>
        <w:t>Investors may focus on EMCOR's impressive ROIC (27.4%) and FCF margin (9.2%) without recognizing that these metrics benefit from favorable cyclical conditions. During the 2020 downturn, ROIC and FCF margins contracted significantly. The current 9.2% FCF margin is near an all-time high and may not be sustainable through a full construction cycle. EMCOR's low capex looks impressive, but the true reinvestment is in labor, which is a variable cost that does not appear as capex but is no less real.</w:t>
      </w:r>
    </w:p>
    <w:p w14:paraId="0446E087" w14:textId="77777777" w:rsidR="00131690" w:rsidRDefault="00000000">
      <w:pPr>
        <w:spacing w:after="120" w:line="276" w:lineRule="auto"/>
      </w:pPr>
      <w:r>
        <w:rPr>
          <w:b/>
          <w:bCs/>
        </w:rPr>
        <w:t>Contribution to Premium: Weak to Moderate.</w:t>
      </w:r>
      <w:r>
        <w:t xml:space="preserve"> Physical capex is genuinely low, and capital allocation is disciplined. But the labor-intensive nature of the business means that reinvestment drag is primarily in COGS, not capex. True owner cash flows (FCF margin of 9.2%) are far lower than what a genuinely asset-light business generates.</w:t>
      </w:r>
    </w:p>
    <w:p w14:paraId="2E204A53" w14:textId="77777777" w:rsidR="00131690" w:rsidRDefault="00000000">
      <w:pPr>
        <w:spacing w:after="120" w:line="276" w:lineRule="auto"/>
      </w:pPr>
      <w:r>
        <w:rPr>
          <w:b/>
          <w:bCs/>
        </w:rPr>
        <w:t xml:space="preserve">Verdict: </w:t>
      </w:r>
      <w:r>
        <w:t>This bucket weakly to moderately justifies a premium. EMCOR's capital efficiency is better than most construction companies but fundamentally limited by the labor-intensive business model. A 9.2% FCF margin, while impressive for a contractor, is not exceptional in absolute terms.</w:t>
      </w:r>
    </w:p>
    <w:p w14:paraId="27D01D3B" w14:textId="77777777" w:rsidR="00131690" w:rsidRDefault="00000000">
      <w:pPr>
        <w:pStyle w:val="Heading2"/>
      </w:pPr>
      <w:r>
        <w:t>BUCKET 4: LOWER FRAGILITY OF CASH FLOWS</w:t>
      </w:r>
    </w:p>
    <w:p w14:paraId="75FE3A6B" w14:textId="77777777" w:rsidR="00131690" w:rsidRDefault="00000000">
      <w:pPr>
        <w:pStyle w:val="Heading3"/>
      </w:pPr>
      <w:r>
        <w:t>Main Mechanism: Diversified End-Market Exposure with Counter-Cyclical Building Services</w:t>
      </w:r>
    </w:p>
    <w:p w14:paraId="351420D8" w14:textId="77777777" w:rsidR="00131690" w:rsidRDefault="00000000">
      <w:pPr>
        <w:spacing w:after="120" w:line="276" w:lineRule="auto"/>
      </w:pPr>
      <w:r>
        <w:t>EMCOR's fragility argument rests on diversification: the company serves multiple end markets (data centers, healthcare, manufacturing, institutional, industrial) and mixes project-based construction (67%) with recurring building services (24%). The building services segment provides a partial floor under revenue during downturns because buildings require ongoing maintenance regardless of economic conditions. The balance sheet is strong ($1.1B cash, minimal debt), providing financial resilience through cycles.</w:t>
      </w:r>
    </w:p>
    <w:p w14:paraId="603CCF9D" w14:textId="77777777" w:rsidR="00131690" w:rsidRDefault="00000000">
      <w:pPr>
        <w:pStyle w:val="Heading3"/>
      </w:pPr>
      <w:r>
        <w:t>Best Evidence</w:t>
      </w:r>
    </w:p>
    <w:p w14:paraId="17F5AF60" w14:textId="77777777" w:rsidR="00131690" w:rsidRDefault="00000000">
      <w:pPr>
        <w:spacing w:after="120" w:line="276" w:lineRule="auto"/>
      </w:pPr>
      <w:r>
        <w:t>The company survived the 2008-2010 and 2020 downturns without existential financial stress. The Q3 2020 recovery to record operating income demonstrated operational resilience. The balance sheet carries minimal debt, and the current $500M buyback authorization is funded from operations. The diversified end-market mix means no single sector dominates, reducing concentration risk.</w:t>
      </w:r>
    </w:p>
    <w:p w14:paraId="4755BA96" w14:textId="77777777" w:rsidR="00131690" w:rsidRDefault="00000000">
      <w:pPr>
        <w:pStyle w:val="Heading3"/>
      </w:pPr>
      <w:r>
        <w:t xml:space="preserve">Structural Limit / </w:t>
      </w:r>
      <w:proofErr w:type="gramStart"/>
      <w:r>
        <w:t>Counter-Evidence</w:t>
      </w:r>
      <w:proofErr w:type="gramEnd"/>
    </w:p>
    <w:p w14:paraId="3EE3D59F" w14:textId="77777777" w:rsidR="00131690" w:rsidRDefault="00000000">
      <w:pPr>
        <w:spacing w:after="120" w:line="276" w:lineRule="auto"/>
      </w:pPr>
      <w:r>
        <w:t xml:space="preserve">This is EMCOR's most significant weakness. The construction industry is deeply cyclical. In 2020, EMCOR's net income fell 59% and the company posted a Q2 loss of $84M. During the 2008-2010 recession, nonresidential construction spending fell 41%, and EMCOR management described it as one of the most difficult periods in company history. The data center </w:t>
      </w:r>
      <w:r>
        <w:lastRenderedPageBreak/>
        <w:t xml:space="preserve">concentration in the current backlog means that a slowdown in </w:t>
      </w:r>
      <w:proofErr w:type="spellStart"/>
      <w:r>
        <w:t>hyperscaler</w:t>
      </w:r>
      <w:proofErr w:type="spellEnd"/>
      <w:r>
        <w:t xml:space="preserve"> capex would disproportionately impact EMCOR's highest-margin work. Fixed-price contract risk means that cost overruns on large projects can destroy margins in individual quarters. Labor scarcity (2.9M annual job openings vs. 1.25M qualified graduates) creates ongoing wage inflation pressure that cannot always be passed through. Customer concentration, while not disclosed</w:t>
      </w:r>
      <w:proofErr w:type="gramStart"/>
      <w:r>
        <w:t>, likely</w:t>
      </w:r>
      <w:proofErr w:type="gramEnd"/>
      <w:r>
        <w:t xml:space="preserve"> includes significant exposure to a small number of </w:t>
      </w:r>
      <w:proofErr w:type="spellStart"/>
      <w:r>
        <w:t>hyperscaler</w:t>
      </w:r>
      <w:proofErr w:type="spellEnd"/>
      <w:r>
        <w:t xml:space="preserve"> clients.</w:t>
      </w:r>
    </w:p>
    <w:p w14:paraId="45871964" w14:textId="77777777" w:rsidR="00131690" w:rsidRDefault="00000000">
      <w:pPr>
        <w:pStyle w:val="Heading3"/>
      </w:pPr>
      <w:r>
        <w:t>What Investors May Be Over-Crediting</w:t>
      </w:r>
    </w:p>
    <w:p w14:paraId="6AE5E8FE" w14:textId="77777777" w:rsidR="00131690" w:rsidRDefault="00000000">
      <w:pPr>
        <w:spacing w:after="120" w:line="276" w:lineRule="auto"/>
      </w:pPr>
      <w:r>
        <w:t>Investors may be projecting the current benign environment (strong demand, favorable pricing, low competitive intensity on complex projects) as the permanent state. The 25.7x trailing P/E prices in minimal fragility, but EMCOR's historical earnings volatility is high. The difference between peak earnings ($28+ EPS) and trough earnings ($2-3 EPS during 2020) is enormous. A business with this kind of earnings variance does not deserve a fragility premium; if anything, it deserves a fragility discount relative to a market-average company with more stable earnings.</w:t>
      </w:r>
    </w:p>
    <w:p w14:paraId="1128460C" w14:textId="77777777" w:rsidR="00131690" w:rsidRDefault="00000000">
      <w:pPr>
        <w:spacing w:after="120" w:line="276" w:lineRule="auto"/>
      </w:pPr>
      <w:r>
        <w:rPr>
          <w:b/>
          <w:bCs/>
        </w:rPr>
        <w:t xml:space="preserve">Contribution to Premium: None </w:t>
      </w:r>
      <w:proofErr w:type="spellStart"/>
      <w:r>
        <w:rPr>
          <w:b/>
          <w:bCs/>
        </w:rPr>
        <w:t>to</w:t>
      </w:r>
      <w:proofErr w:type="spellEnd"/>
      <w:r>
        <w:rPr>
          <w:b/>
          <w:bCs/>
        </w:rPr>
        <w:t xml:space="preserve"> Weak (possible discount).</w:t>
      </w:r>
      <w:r>
        <w:t xml:space="preserve"> EMCOR's cash flows are more fragile than a market-average business, not less. The construction industry is deeply cyclical, and EMCOR's earnings have demonstrated extreme variance. The balance sheet is strong, but balance sheet strength does not eliminate business cyclicality.</w:t>
      </w:r>
    </w:p>
    <w:p w14:paraId="5113F1E1" w14:textId="77777777" w:rsidR="00131690" w:rsidRDefault="00000000">
      <w:pPr>
        <w:spacing w:after="120" w:line="276" w:lineRule="auto"/>
      </w:pPr>
      <w:r>
        <w:rPr>
          <w:b/>
          <w:bCs/>
        </w:rPr>
        <w:t xml:space="preserve">Verdict: </w:t>
      </w:r>
      <w:r>
        <w:t xml:space="preserve">This bucket does not justify a premium. It may </w:t>
      </w:r>
      <w:proofErr w:type="gramStart"/>
      <w:r>
        <w:t>actually warrant</w:t>
      </w:r>
      <w:proofErr w:type="gramEnd"/>
      <w:r>
        <w:t xml:space="preserve"> a discount. The 59% net income decline in </w:t>
      </w:r>
      <w:proofErr w:type="gramStart"/>
      <w:r>
        <w:t>2020</w:t>
      </w:r>
      <w:proofErr w:type="gramEnd"/>
      <w:r>
        <w:t xml:space="preserve"> and the extreme cyclicality of construction spending mean that EMCOR's cash flows are structurally more fragile than the average listed company. Investors paying a premium multiple for EMCOR are implicitly assuming that the current demand cycle will persist, which history strongly suggests it will not.</w:t>
      </w:r>
    </w:p>
    <w:p w14:paraId="0533356F" w14:textId="77777777" w:rsidR="00131690" w:rsidRDefault="00000000">
      <w:pPr>
        <w:pStyle w:val="Heading2"/>
      </w:pPr>
      <w:r>
        <w:t>INVESTOR SYNTHESIS TABLE: EMCOR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2182"/>
        <w:gridCol w:w="2034"/>
        <w:gridCol w:w="1400"/>
        <w:gridCol w:w="2321"/>
      </w:tblGrid>
      <w:tr w:rsidR="00131690" w14:paraId="2D4633CF" w14:textId="77777777">
        <w:tblPrEx>
          <w:tblCellMar>
            <w:top w:w="0" w:type="dxa"/>
            <w:bottom w:w="0" w:type="dxa"/>
          </w:tblCellMar>
        </w:tblPrEx>
        <w:trPr>
          <w:tblHeader/>
        </w:trPr>
        <w:tc>
          <w:tcPr>
            <w:tcW w:w="1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18959DFF" w14:textId="77777777" w:rsidR="00131690" w:rsidRDefault="00000000">
            <w:r>
              <w:rPr>
                <w:b/>
                <w:bCs/>
                <w:color w:val="FFFFFF"/>
                <w:sz w:val="20"/>
                <w:szCs w:val="20"/>
              </w:rPr>
              <w:t>Bucket</w:t>
            </w:r>
          </w:p>
        </w:tc>
        <w:tc>
          <w:tcPr>
            <w:tcW w:w="2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3EDAFBBB" w14:textId="77777777" w:rsidR="00131690" w:rsidRDefault="00000000">
            <w:r>
              <w:rPr>
                <w:b/>
                <w:bCs/>
                <w:color w:val="FFFFFF"/>
                <w:sz w:val="20"/>
                <w:szCs w:val="20"/>
              </w:rPr>
              <w:t>Key Support</w:t>
            </w:r>
          </w:p>
        </w:tc>
        <w:tc>
          <w:tcPr>
            <w:tcW w:w="2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71F80255" w14:textId="77777777" w:rsidR="00131690" w:rsidRDefault="00000000">
            <w:r>
              <w:rPr>
                <w:b/>
                <w:bCs/>
                <w:color w:val="FFFFFF"/>
                <w:sz w:val="20"/>
                <w:szCs w:val="20"/>
              </w:rPr>
              <w:t>Key Limit</w:t>
            </w:r>
          </w:p>
        </w:tc>
        <w:tc>
          <w:tcPr>
            <w:tcW w:w="1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527E6912" w14:textId="77777777" w:rsidR="00131690" w:rsidRDefault="00000000">
            <w:r>
              <w:rPr>
                <w:b/>
                <w:bCs/>
                <w:color w:val="FFFFFF"/>
                <w:sz w:val="20"/>
                <w:szCs w:val="20"/>
              </w:rPr>
              <w:t>Premium Contribution</w:t>
            </w:r>
          </w:p>
        </w:tc>
        <w:tc>
          <w:tcPr>
            <w:tcW w:w="256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5691AA7C" w14:textId="77777777" w:rsidR="00131690" w:rsidRDefault="00000000">
            <w:r>
              <w:rPr>
                <w:b/>
                <w:bCs/>
                <w:color w:val="FFFFFF"/>
                <w:sz w:val="20"/>
                <w:szCs w:val="20"/>
              </w:rPr>
              <w:t>Final Takeaway</w:t>
            </w:r>
          </w:p>
        </w:tc>
      </w:tr>
      <w:tr w:rsidR="00131690" w14:paraId="298444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3E6117" w14:textId="77777777" w:rsidR="00131690" w:rsidRDefault="00000000">
            <w:r>
              <w:rPr>
                <w:sz w:val="20"/>
                <w:szCs w:val="20"/>
              </w:rPr>
              <w:t>1. More Future Cash Flows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1FA7D7" w14:textId="77777777" w:rsidR="00131690" w:rsidRDefault="00000000">
            <w:r>
              <w:rPr>
                <w:sz w:val="20"/>
                <w:szCs w:val="20"/>
              </w:rPr>
              <w:t>$12.6B backlog (+29% YoY); data center/semiconductor secular tailwinds; 14% 5-year CAGR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76BFF0" w14:textId="77777777" w:rsidR="00131690" w:rsidRDefault="00000000">
            <w:r>
              <w:rPr>
                <w:sz w:val="20"/>
                <w:szCs w:val="20"/>
              </w:rPr>
              <w:t xml:space="preserve">Cyclical capex </w:t>
            </w:r>
            <w:proofErr w:type="gramStart"/>
            <w:r>
              <w:rPr>
                <w:sz w:val="20"/>
                <w:szCs w:val="20"/>
              </w:rPr>
              <w:t>wave;</w:t>
            </w:r>
            <w:proofErr w:type="gramEnd"/>
            <w:r>
              <w:rPr>
                <w:sz w:val="20"/>
                <w:szCs w:val="20"/>
              </w:rPr>
              <w:t xml:space="preserve"> 2026 guidance implies deceleration; derivative of customer spending decisions</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AE5C6A" w14:textId="77777777" w:rsidR="00131690" w:rsidRDefault="00000000">
            <w:r>
              <w:rPr>
                <w:sz w:val="20"/>
                <w:szCs w:val="20"/>
              </w:rPr>
              <w:t>Moderate</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1C1CA9" w14:textId="77777777" w:rsidR="00131690" w:rsidRDefault="00000000">
            <w:r>
              <w:rPr>
                <w:sz w:val="20"/>
                <w:szCs w:val="20"/>
              </w:rPr>
              <w:t>Real near-term visibility but cyclical, not structural growth</w:t>
            </w:r>
          </w:p>
        </w:tc>
      </w:tr>
      <w:tr w:rsidR="00131690" w14:paraId="54A593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3868CF" w14:textId="77777777" w:rsidR="00131690" w:rsidRDefault="00000000">
            <w:r>
              <w:rPr>
                <w:sz w:val="20"/>
                <w:szCs w:val="20"/>
              </w:rPr>
              <w:t>2. Longer Duration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19ADB5" w14:textId="77777777" w:rsidR="00131690" w:rsidRDefault="00000000">
            <w:r>
              <w:rPr>
                <w:sz w:val="20"/>
                <w:szCs w:val="20"/>
              </w:rPr>
              <w:t>Scale/prequalification barriers; VDC capabilities; building services recurring revenue (24%)</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29D0CB" w14:textId="77777777" w:rsidR="00131690" w:rsidRDefault="00000000">
            <w:r>
              <w:rPr>
                <w:sz w:val="20"/>
                <w:szCs w:val="20"/>
              </w:rPr>
              <w:t xml:space="preserve">Fragmented </w:t>
            </w:r>
            <w:proofErr w:type="gramStart"/>
            <w:r>
              <w:rPr>
                <w:sz w:val="20"/>
                <w:szCs w:val="20"/>
              </w:rPr>
              <w:t>industry;</w:t>
            </w:r>
            <w:proofErr w:type="gramEnd"/>
            <w:r>
              <w:rPr>
                <w:sz w:val="20"/>
                <w:szCs w:val="20"/>
              </w:rPr>
              <w:t xml:space="preserve"> every project competitively bid; no contractual lock-in; low barriers to entry</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3BE5FE" w14:textId="77777777" w:rsidR="00131690" w:rsidRDefault="00000000">
            <w:r>
              <w:rPr>
                <w:sz w:val="20"/>
                <w:szCs w:val="20"/>
              </w:rPr>
              <w:t>Weak</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F330D7" w14:textId="77777777" w:rsidR="00131690" w:rsidRDefault="00000000">
            <w:r>
              <w:rPr>
                <w:sz w:val="20"/>
                <w:szCs w:val="20"/>
              </w:rPr>
              <w:t>Weakest bucket; no structural moat in project-based contracting</w:t>
            </w:r>
          </w:p>
        </w:tc>
      </w:tr>
      <w:tr w:rsidR="00131690" w14:paraId="3D19DD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2033EF" w14:textId="77777777" w:rsidR="00131690" w:rsidRDefault="00000000">
            <w:r>
              <w:rPr>
                <w:sz w:val="20"/>
                <w:szCs w:val="20"/>
              </w:rPr>
              <w:t>3. Lower Reinvestment Drag</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7545F8" w14:textId="77777777" w:rsidR="00131690" w:rsidRDefault="00000000">
            <w:r>
              <w:rPr>
                <w:sz w:val="20"/>
                <w:szCs w:val="20"/>
              </w:rPr>
              <w:t>Capex &lt;0.5% of revenue; 9.2% FCF margin; ROIC 27%; clean balance sheet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0A1588" w14:textId="77777777" w:rsidR="00131690" w:rsidRDefault="00000000">
            <w:r>
              <w:rPr>
                <w:sz w:val="20"/>
                <w:szCs w:val="20"/>
              </w:rPr>
              <w:t>81% of revenue is direct costs (labor + materials); 19% gross margin; labor is the true reinvestment</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E8E576" w14:textId="77777777" w:rsidR="00131690" w:rsidRDefault="00000000">
            <w:r>
              <w:rPr>
                <w:sz w:val="20"/>
                <w:szCs w:val="20"/>
              </w:rPr>
              <w:t>Weak to Moderate</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B7BEA6" w14:textId="77777777" w:rsidR="00131690" w:rsidRDefault="00000000">
            <w:r>
              <w:rPr>
                <w:sz w:val="20"/>
                <w:szCs w:val="20"/>
              </w:rPr>
              <w:t>Physical capex is low but labor intensity is the real reinvestment drag</w:t>
            </w:r>
          </w:p>
        </w:tc>
      </w:tr>
      <w:tr w:rsidR="00131690" w14:paraId="3DDBD9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6249C6" w14:textId="77777777" w:rsidR="00131690" w:rsidRDefault="00000000">
            <w:r>
              <w:rPr>
                <w:sz w:val="20"/>
                <w:szCs w:val="20"/>
              </w:rPr>
              <w:lastRenderedPageBreak/>
              <w:t>4. Lower Fragility</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B4F184" w14:textId="77777777" w:rsidR="00131690" w:rsidRDefault="00000000">
            <w:r>
              <w:rPr>
                <w:sz w:val="20"/>
                <w:szCs w:val="20"/>
              </w:rPr>
              <w:t>Diversified end-markets; building services floor; strong balance sheet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A244D2" w14:textId="77777777" w:rsidR="00131690" w:rsidRDefault="00000000">
            <w:r>
              <w:rPr>
                <w:sz w:val="20"/>
                <w:szCs w:val="20"/>
              </w:rPr>
              <w:t>59% net income decline in 2020; construction deeply cyclical; fixed-price risk; labor scarcity</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370D66" w14:textId="77777777" w:rsidR="00131690" w:rsidRDefault="00000000">
            <w:r>
              <w:rPr>
                <w:sz w:val="20"/>
                <w:szCs w:val="20"/>
              </w:rPr>
              <w:t>None (possible discount)</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09C51E" w14:textId="77777777" w:rsidR="00131690" w:rsidRDefault="00000000">
            <w:r>
              <w:rPr>
                <w:sz w:val="20"/>
                <w:szCs w:val="20"/>
              </w:rPr>
              <w:t>Cash flows are more fragile than average, not less; earnings variance is extreme</w:t>
            </w:r>
          </w:p>
        </w:tc>
      </w:tr>
    </w:tbl>
    <w:p w14:paraId="362785EA" w14:textId="77777777" w:rsidR="00131690" w:rsidRDefault="00131690">
      <w:pPr>
        <w:spacing w:after="100" w:line="276" w:lineRule="auto"/>
      </w:pPr>
    </w:p>
    <w:p w14:paraId="2549316F" w14:textId="77777777" w:rsidR="00131690" w:rsidRDefault="00000000">
      <w:pPr>
        <w:spacing w:after="120" w:line="276" w:lineRule="auto"/>
      </w:pPr>
      <w:r>
        <w:rPr>
          <w:b/>
          <w:bCs/>
          <w:sz w:val="24"/>
          <w:szCs w:val="24"/>
        </w:rPr>
        <w:t>Final Classification: Small to Medium Premium.</w:t>
      </w:r>
      <w:r>
        <w:t xml:space="preserve"> EMCOR's current earnings deserve a small-to-medium premium over a market-average business, driven almost entirely by near-term growth visibility from data center and infrastructure tailwinds. The premium should be modest because (a) growth is cyclical and derivative, (b) the business has no structural duration advantage, (c) reinvestment </w:t>
      </w:r>
      <w:proofErr w:type="gramStart"/>
      <w:r>
        <w:t>drag</w:t>
      </w:r>
      <w:proofErr w:type="gramEnd"/>
      <w:r>
        <w:t xml:space="preserve"> is masked by favorable cyclical margins, and (d) cash-flow fragility is above-average due to construction cyclicality. The 25.7x trailing P/E may be over-crediting the sustainability of the current growth/margin trajectory. EMCOR is a well-managed cyclical business experiencing an unusually favorable demand environment, not a structural compounder. To merit a </w:t>
      </w:r>
      <w:proofErr w:type="gramStart"/>
      <w:r>
        <w:t>Medium or Large</w:t>
      </w:r>
      <w:proofErr w:type="gramEnd"/>
      <w:r>
        <w:t xml:space="preserve"> premium, EMCOR would need to demonstrate that its margin expansion is structurally sustainable through a downturn, that data center demand creates permanent (not cyclical) backlog, or that building services becomes a materially larger share of revenue with higher margins.</w:t>
      </w:r>
    </w:p>
    <w:p w14:paraId="03FA377C" w14:textId="77777777" w:rsidR="00131690" w:rsidRDefault="00000000">
      <w:pPr>
        <w:pStyle w:val="Heading1"/>
        <w:pageBreakBefore/>
      </w:pPr>
      <w:r>
        <w:lastRenderedPageBreak/>
        <w:t>INTUITIVE SURGICAL (ISRG)</w:t>
      </w:r>
    </w:p>
    <w:p w14:paraId="312F4074" w14:textId="77777777" w:rsidR="00131690" w:rsidRDefault="00000000">
      <w:pPr>
        <w:pStyle w:val="Heading2"/>
      </w:pPr>
      <w:r>
        <w:t>EXECUTIVE SUMMARY</w:t>
      </w:r>
    </w:p>
    <w:p w14:paraId="7CC862A7" w14:textId="77777777" w:rsidR="00131690" w:rsidRDefault="00000000">
      <w:pPr>
        <w:spacing w:after="120" w:line="276" w:lineRule="auto"/>
      </w:pPr>
      <w:r>
        <w:rPr>
          <w:b/>
          <w:bCs/>
        </w:rPr>
        <w:t>Overall Premium Category: Large to Extreme Premium.</w:t>
      </w:r>
      <w:r>
        <w:t xml:space="preserve"> Intuitive Surgical is a rare business that scores well across all four premium buckets simultaneously. It has strong growth visibility (18% procedure growth, $10B+ revenue), exceptional duration (installed base + surgeon training lock-in creates 20+ year competitive moat), genuinely low reinvestment </w:t>
      </w:r>
      <w:proofErr w:type="gramStart"/>
      <w:r>
        <w:t>drag</w:t>
      </w:r>
      <w:proofErr w:type="gramEnd"/>
      <w:r>
        <w:t xml:space="preserve"> (~85% recurring revenue with ~25% FCF margins), and moderate fragility (recession-resilient procedure volumes with fortress balance sheet). The business comes closer to deserving an Extreme premium than most companies but falls short due to meaningful reinvestment requirements, emerging competition, and concentration in a single product platform.</w:t>
      </w:r>
    </w:p>
    <w:p w14:paraId="2E7D8992" w14:textId="77777777" w:rsidR="00131690" w:rsidRDefault="00000000">
      <w:pPr>
        <w:spacing w:after="120" w:line="276" w:lineRule="auto"/>
      </w:pPr>
      <w:r>
        <w:rPr>
          <w:b/>
          <w:bCs/>
        </w:rPr>
        <w:t xml:space="preserve">Dominant Bucket: </w:t>
      </w:r>
      <w:r>
        <w:t xml:space="preserve">Longer Duration of Cash Flows. </w:t>
      </w:r>
      <w:proofErr w:type="spellStart"/>
      <w:r>
        <w:t>Intuitive's</w:t>
      </w:r>
      <w:proofErr w:type="spellEnd"/>
      <w:r>
        <w:t xml:space="preserve"> installed base of 11,100+ da Vinci systems </w:t>
      </w:r>
      <w:proofErr w:type="gramStart"/>
      <w:r>
        <w:t>represents</w:t>
      </w:r>
      <w:proofErr w:type="gramEnd"/>
      <w:r>
        <w:t xml:space="preserve"> $25B+ of sunk capital by hospitals. With 76,000-90,000 trained surgeons who invested 100+ hours learning the platform, the switching costs are not merely financial but also human-capital-based. No competitor has a meaningful installed base, and the regulatory approval timeline for competitive systems is 3-5+ years. This creates an exceptionally long-duration cash flow stream that is structurally difficult to displace.</w:t>
      </w:r>
    </w:p>
    <w:p w14:paraId="211364E8" w14:textId="77777777" w:rsidR="00131690" w:rsidRDefault="00000000">
      <w:pPr>
        <w:spacing w:after="120" w:line="276" w:lineRule="auto"/>
      </w:pPr>
      <w:r>
        <w:rPr>
          <w:b/>
          <w:bCs/>
        </w:rPr>
        <w:t xml:space="preserve">Weakest / Most Overstated Bucket: </w:t>
      </w:r>
      <w:r>
        <w:t xml:space="preserve">Lower Reinvestment Drag. While </w:t>
      </w:r>
      <w:proofErr w:type="spellStart"/>
      <w:r>
        <w:t>Intuitive's</w:t>
      </w:r>
      <w:proofErr w:type="spellEnd"/>
      <w:r>
        <w:t xml:space="preserve"> 85% recurring revenue is impressive, the company spends 12-13% of revenue on capex and another 12-14% on R&amp;D, making total reinvestment intensity ~25% of revenue. SBC adds another 8%. Da Vinci 5 </w:t>
      </w:r>
      <w:proofErr w:type="gramStart"/>
      <w:r>
        <w:t>required</w:t>
      </w:r>
      <w:proofErr w:type="gramEnd"/>
      <w:r>
        <w:t xml:space="preserve"> massive R&amp;D </w:t>
      </w:r>
      <w:proofErr w:type="gramStart"/>
      <w:r>
        <w:t>investment, and</w:t>
      </w:r>
      <w:proofErr w:type="gramEnd"/>
      <w:r>
        <w:t xml:space="preserve"> maintaining technological leadership against well-funded competitors (Medtronic, J&amp;J) will require sustained high reinvestment. The FCF margin of ~25% is strong but not exceptional for a company trading at 60x earnings.</w:t>
      </w:r>
    </w:p>
    <w:p w14:paraId="0012DAF9" w14:textId="77777777" w:rsidR="00131690" w:rsidRDefault="00000000">
      <w:pPr>
        <w:spacing w:after="120" w:line="276" w:lineRule="auto"/>
      </w:pPr>
      <w:r>
        <w:rPr>
          <w:b/>
          <w:bCs/>
        </w:rPr>
        <w:t xml:space="preserve">Strongest reason it does NOT clearly deserve an Extreme Premium: </w:t>
      </w:r>
      <w:r>
        <w:t>Reinvestment drag is meaningfully above average (25% of revenue in capex + R&amp;D), emerging competition from Medtronic Hugo and J&amp;J Ottava is real (even if 3-5 years away from meaningful impact), and the entire business depends on a single product platform (da Vinci / robotic surgery) with no diversification. Tariff exposure (1.2% of revenue impact guided for 2026) and China geopolitical risk add fragility. The 2026 procedure growth guidance of 13-15% (down from 18% in 2025) signals a natural deceleration that the 60x P/E may not fully reflect.</w:t>
      </w:r>
    </w:p>
    <w:p w14:paraId="6E6728E5" w14:textId="77777777" w:rsidR="00131690" w:rsidRDefault="00000000">
      <w:pPr>
        <w:pStyle w:val="Heading2"/>
      </w:pPr>
      <w:r>
        <w:t>BUSINESS MODEL &amp; CORE ECONOMICS</w:t>
      </w:r>
    </w:p>
    <w:p w14:paraId="0698BA01" w14:textId="77777777" w:rsidR="00131690" w:rsidRDefault="00000000">
      <w:pPr>
        <w:spacing w:after="120" w:line="276" w:lineRule="auto"/>
      </w:pPr>
      <w:r>
        <w:t>Intuitive Surgical designs, manufactures, and sells the da Vinci robotic surgical system and related instruments. Revenue in 2025 was $10.07B (+20.5% YoY)</w:t>
      </w:r>
      <w:proofErr w:type="gramStart"/>
      <w:r>
        <w:t>, broken</w:t>
      </w:r>
      <w:proofErr w:type="gramEnd"/>
      <w:r>
        <w:t xml:space="preserve"> down as: Instruments &amp; Accessories 61% (~$6.3B), Systems 29% (~$2.9B), and Services &amp; Other 10% (~$0.9B). The installed base reached 11,106 da Vinci systems globally (+12% YoY), and procedure volume hit 3.15 million (+18% YoY). The company also offers the Ion platform for lung biopsies, which grew procedures 51% in 2025.</w:t>
      </w:r>
    </w:p>
    <w:p w14:paraId="2C246D57" w14:textId="77777777" w:rsidR="00131690" w:rsidRDefault="00000000">
      <w:pPr>
        <w:spacing w:after="120" w:line="276" w:lineRule="auto"/>
      </w:pPr>
      <w:r>
        <w:t xml:space="preserve">The brilliance of the business model is the razor/blade structure: systems are capital equipment placed in hospitals (sold, leased, or usage-based), while instruments and accessories are per-procedure consumables that generate recurring revenue. Each procedure requires </w:t>
      </w:r>
      <w:r>
        <w:lastRenderedPageBreak/>
        <w:t>approximately $700-2,000 in consumables. Because instruments have designed-in usage limits (typically 10-18 uses), the recurring revenue stream is mechanically tied to procedure volume, not customer purchasing decisions. This creates ~85% recurring revenue (instruments + services + leases) that grows as procedure volumes grow, making the installed base an annuity-like asset.</w:t>
      </w:r>
    </w:p>
    <w:p w14:paraId="0C836632" w14:textId="77777777" w:rsidR="00131690" w:rsidRDefault="00000000">
      <w:pPr>
        <w:spacing w:after="120" w:line="276" w:lineRule="auto"/>
      </w:pPr>
      <w:r>
        <w:t xml:space="preserve">The structural limit is that Intuitive is a single-platform company. The </w:t>
      </w:r>
      <w:proofErr w:type="gramStart"/>
      <w:r>
        <w:t>da</w:t>
      </w:r>
      <w:proofErr w:type="gramEnd"/>
      <w:r>
        <w:t xml:space="preserve"> Vinci system and its instrument consumables represent essentially all revenue. While the Ion platform is growing, it remains small. The company's economics depend entirely on (a) continued growth in robotic surgery adoption, (b) maintaining technological leadership against well-funded competitors, and (c) favorable regulatory and reimbursement environments. Any structural disruption to robotic surgery as a surgical approach would threaten the entire business.</w:t>
      </w:r>
    </w:p>
    <w:p w14:paraId="27F4397F" w14:textId="77777777" w:rsidR="00131690" w:rsidRDefault="00000000">
      <w:pPr>
        <w:pStyle w:val="Heading2"/>
      </w:pPr>
      <w:r>
        <w:t>BUCKET 1: MORE FUTURE OWNER CASH FLOWS</w:t>
      </w:r>
    </w:p>
    <w:p w14:paraId="5F4E92DA" w14:textId="77777777" w:rsidR="00131690" w:rsidRDefault="00000000">
      <w:pPr>
        <w:pStyle w:val="Heading3"/>
      </w:pPr>
      <w:r>
        <w:t>Main Mechanism: Procedure Volume Growth Driven by Clinical Adoption Across New Specialties and Geographies</w:t>
      </w:r>
    </w:p>
    <w:p w14:paraId="6464AD9A" w14:textId="77777777" w:rsidR="00131690" w:rsidRDefault="00000000">
      <w:pPr>
        <w:spacing w:after="120" w:line="276" w:lineRule="auto"/>
      </w:pPr>
      <w:proofErr w:type="spellStart"/>
      <w:r>
        <w:t>Intuitive's</w:t>
      </w:r>
      <w:proofErr w:type="spellEnd"/>
      <w:r>
        <w:t xml:space="preserve"> growth engine is procedure volume expansion: more surgeons performing more types of procedures on more patients globally. The mechanism is self-reinforcing: as the installed base grows and more surgeons are trained, utilization per system increases, and clinical evidence for new procedure types accumulates, driving further adoption. Procedure volumes grew 18% in 2025 and have compounded at mid-to-high teens annually for most of the past decade. The da Vinci 5 launch (FDA cleared March 2024) is accelerating replacements and new placements.</w:t>
      </w:r>
    </w:p>
    <w:p w14:paraId="0564E92E" w14:textId="77777777" w:rsidR="00131690" w:rsidRDefault="00000000">
      <w:pPr>
        <w:pStyle w:val="Heading3"/>
      </w:pPr>
      <w:r>
        <w:t>Best Evidence</w:t>
      </w:r>
    </w:p>
    <w:p w14:paraId="0B524356" w14:textId="77777777" w:rsidR="00131690" w:rsidRDefault="00000000">
      <w:pPr>
        <w:spacing w:after="120" w:line="276" w:lineRule="auto"/>
      </w:pPr>
      <w:r>
        <w:t>FY2025 revenue of $10.07B grew 20.5% YoY. Procedure volume of 3.15M grew 18%. International procedures grew 23%, indicating significant geographic runway. System placements of 1,721 (+13%) included 870 da Vinci 5 units, penetrating 90%+ of new placements by Q4. The robotic surgery TAM is estimated at $27B by 2030 (from $8.1B in 2024, ~15% CAGR). Key growth vectors include cardiac surgery (FDA clearance for mitral valve repair, unlocking ~160K procedures/year), Ion platform (51% procedure growth), and continued penetration in general surgery, urology, and gynecology globally.</w:t>
      </w:r>
    </w:p>
    <w:p w14:paraId="6DEDE181" w14:textId="77777777" w:rsidR="00131690" w:rsidRDefault="00000000">
      <w:pPr>
        <w:pStyle w:val="Heading3"/>
      </w:pPr>
      <w:r>
        <w:t xml:space="preserve">Structural Limit / </w:t>
      </w:r>
      <w:proofErr w:type="gramStart"/>
      <w:r>
        <w:t>Counter-Evidence</w:t>
      </w:r>
      <w:proofErr w:type="gramEnd"/>
    </w:p>
    <w:p w14:paraId="59F0F298" w14:textId="77777777" w:rsidR="00131690" w:rsidRDefault="00000000">
      <w:pPr>
        <w:spacing w:after="120" w:line="276" w:lineRule="auto"/>
      </w:pPr>
      <w:r>
        <w:t>2026 procedure growth guidance of 13-15% represents a meaningful deceleration from 18% in 2025. Gross margins declined from 69.1% (2024) to 67.6% (2025), with 2026 guidance of 67-68% reflecting tariff impacts (1.2% of revenue). The U.S. market (which generates ~65% of revenue) is more mature, and growth increasingly depends on international expansion where reimbursement, hospital capital budgets, and regulatory environments are more challenging. China specifically faces competitive pressure from domestic manufacturers (</w:t>
      </w:r>
      <w:proofErr w:type="spellStart"/>
      <w:r>
        <w:t>MicroPort</w:t>
      </w:r>
      <w:proofErr w:type="spellEnd"/>
      <w:r>
        <w:t>, TINAVI) and geopolitical trade risks. System utilization must continue increasing to justify the installed base; any saturation in core procedures would slow growth.</w:t>
      </w:r>
    </w:p>
    <w:p w14:paraId="0B979E3E" w14:textId="77777777" w:rsidR="00131690" w:rsidRDefault="00000000">
      <w:pPr>
        <w:pStyle w:val="Heading3"/>
      </w:pPr>
      <w:r>
        <w:t>What Investors May Be Over-Crediting</w:t>
      </w:r>
    </w:p>
    <w:p w14:paraId="529E6F03" w14:textId="77777777" w:rsidR="00131690" w:rsidRDefault="00000000">
      <w:pPr>
        <w:spacing w:after="120" w:line="276" w:lineRule="auto"/>
      </w:pPr>
      <w:r>
        <w:lastRenderedPageBreak/>
        <w:t>Investors may be extrapolating the 18-20% growth of 2024-2025 as sustainable, but the company itself is guiding for deceleration (13-15% in 2026). New procedure types (cardiac) represent potential but are unproven at scale and require significant clinical evidence and surgeon training. The TAM expansion to $27B by 2030 assumes high adoption rates across multiple specialties and geographies, which may not materialize. Competition from Medtronic Hugo and J&amp;J Ottava, while 3-5 years from meaningful impact, could eventually pressure both pricing and volume growth.</w:t>
      </w:r>
    </w:p>
    <w:p w14:paraId="2315B2AA" w14:textId="77777777" w:rsidR="00131690" w:rsidRDefault="00000000">
      <w:pPr>
        <w:spacing w:after="120" w:line="276" w:lineRule="auto"/>
      </w:pPr>
      <w:r>
        <w:rPr>
          <w:b/>
          <w:bCs/>
        </w:rPr>
        <w:t>Contribution to Premium: Strong.</w:t>
      </w:r>
      <w:r>
        <w:t xml:space="preserve"> </w:t>
      </w:r>
      <w:proofErr w:type="spellStart"/>
      <w:r>
        <w:t>Intuitive's</w:t>
      </w:r>
      <w:proofErr w:type="spellEnd"/>
      <w:r>
        <w:t xml:space="preserve"> procedure volume growth is structurally driven by increasing clinical adoption across specialties and geographies, not just cyclical demand. The installed base creates a self-reinforcing growth flywheel. However, growth is decelerating, and the U.S. market is maturing.</w:t>
      </w:r>
    </w:p>
    <w:p w14:paraId="1273DECE" w14:textId="77777777" w:rsidR="00131690" w:rsidRDefault="00000000">
      <w:pPr>
        <w:spacing w:after="120" w:line="276" w:lineRule="auto"/>
      </w:pPr>
      <w:r>
        <w:rPr>
          <w:b/>
          <w:bCs/>
        </w:rPr>
        <w:t xml:space="preserve">Verdict: </w:t>
      </w:r>
      <w:r>
        <w:t>This bucket strongly justifies a premium. Procedure volume growth of 13-18% annually is 3-5x that of a market-average business, and the growth is driven by structural clinical adoption rather than cyclical demand. The installed base flywheel and new specialty expansion provide genuine long-duration growth visibility.</w:t>
      </w:r>
    </w:p>
    <w:p w14:paraId="02373D69" w14:textId="77777777" w:rsidR="00131690" w:rsidRDefault="00000000">
      <w:pPr>
        <w:pStyle w:val="Heading2"/>
      </w:pPr>
      <w:r>
        <w:t>BUCKET 2: LONGER DURATION OF CASH FLOWS</w:t>
      </w:r>
    </w:p>
    <w:p w14:paraId="1C3B9DF1" w14:textId="77777777" w:rsidR="00131690" w:rsidRDefault="00000000">
      <w:pPr>
        <w:pStyle w:val="Heading3"/>
      </w:pPr>
      <w:r>
        <w:t>Main Mechanism: Installed Base Lock-In + Surgeon Training Capital + Regulatory Barriers</w:t>
      </w:r>
    </w:p>
    <w:p w14:paraId="3626F441" w14:textId="77777777" w:rsidR="00131690" w:rsidRDefault="00000000">
      <w:pPr>
        <w:spacing w:after="120" w:line="276" w:lineRule="auto"/>
      </w:pPr>
      <w:r>
        <w:t xml:space="preserve">This is </w:t>
      </w:r>
      <w:proofErr w:type="spellStart"/>
      <w:r>
        <w:t>Intuitive's</w:t>
      </w:r>
      <w:proofErr w:type="spellEnd"/>
      <w:r>
        <w:t xml:space="preserve"> most powerful premium mechanism. The economic logic works on three reinforcing levels. First, hospitals have invested $1-2.5M </w:t>
      </w:r>
      <w:proofErr w:type="gramStart"/>
      <w:r>
        <w:t>per</w:t>
      </w:r>
      <w:proofErr w:type="gramEnd"/>
      <w:r>
        <w:t xml:space="preserve"> </w:t>
      </w:r>
      <w:proofErr w:type="gramStart"/>
      <w:r>
        <w:t>da</w:t>
      </w:r>
      <w:proofErr w:type="gramEnd"/>
      <w:r>
        <w:t xml:space="preserve"> Vinci system (11,106 systems = $25B+ in aggregate sunk capital), creating massive installed-base lock-in. Second, each trained surgeon represents 100+ hours of training investment specific to the da Vinci platform; with 76,000-90,000 trained surgeons globally, the collective human capital invested in </w:t>
      </w:r>
      <w:proofErr w:type="spellStart"/>
      <w:r>
        <w:t>Intuitive's</w:t>
      </w:r>
      <w:proofErr w:type="spellEnd"/>
      <w:r>
        <w:t xml:space="preserve"> platform is enormous and represents a switching cost that competitors cannot replicate with price alone. Third, competitive systems face multi-year FDA/CE Mark approval processes, clinical trial requirements, and slow hospital evaluation cycles before they can meaningfully displace da Vinci.</w:t>
      </w:r>
    </w:p>
    <w:p w14:paraId="0F7539F5" w14:textId="77777777" w:rsidR="00131690" w:rsidRDefault="00000000">
      <w:pPr>
        <w:pStyle w:val="Heading3"/>
      </w:pPr>
      <w:r>
        <w:t>Best Evidence</w:t>
      </w:r>
    </w:p>
    <w:p w14:paraId="1F3D2567" w14:textId="77777777" w:rsidR="00131690" w:rsidRDefault="00000000">
      <w:pPr>
        <w:spacing w:after="120" w:line="276" w:lineRule="auto"/>
      </w:pPr>
      <w:r>
        <w:t xml:space="preserve">Despite competitor announcements over many years, Intuitive maintains approximately 83.5% market share in robotic surgery. Medtronic's Hugo system received EU approval and obtained FDA clearance for urology in December 2025, making it the first credible FDA-cleared competitor. J&amp;J submitted its Ottava system to the FDA in January 2026 via de novo pathway, with </w:t>
      </w:r>
      <w:proofErr w:type="gramStart"/>
      <w:r>
        <w:t>clearance</w:t>
      </w:r>
      <w:proofErr w:type="gramEnd"/>
      <w:r>
        <w:t xml:space="preserve"> timing uncertain but likely 2026-2027. No competitor has cracked 5% global market share. The da Vinci 5 launch has reinforced the installed base advantage by providing a compelling upgrade path that deepens hospital commitment. Instrument consumables with designed-in usage limits create a mechanically recurring revenue stream tied to procedure volume that persists regardless of competitive dynamics.</w:t>
      </w:r>
    </w:p>
    <w:p w14:paraId="07D09924" w14:textId="77777777" w:rsidR="00131690" w:rsidRDefault="00000000">
      <w:pPr>
        <w:pStyle w:val="Heading3"/>
      </w:pPr>
      <w:r>
        <w:t xml:space="preserve">Structural Limit / </w:t>
      </w:r>
      <w:proofErr w:type="gramStart"/>
      <w:r>
        <w:t>Counter-Evidence</w:t>
      </w:r>
      <w:proofErr w:type="gramEnd"/>
    </w:p>
    <w:p w14:paraId="688FC0CF" w14:textId="77777777" w:rsidR="00131690" w:rsidRDefault="00000000">
      <w:pPr>
        <w:spacing w:after="120" w:line="276" w:lineRule="auto"/>
      </w:pPr>
      <w:r>
        <w:lastRenderedPageBreak/>
        <w:t xml:space="preserve">Competition is arriving, even if </w:t>
      </w:r>
      <w:proofErr w:type="gramStart"/>
      <w:r>
        <w:t>slowly</w:t>
      </w:r>
      <w:proofErr w:type="gramEnd"/>
      <w:r>
        <w:t xml:space="preserve">. Medtronic (Hugo) and J&amp;J (Ottava) are among the largest, best-funded medical device companies in the world. They have decades of hospital relationships, large sales forces, and the financial capacity to sustain losses while building installed </w:t>
      </w:r>
      <w:proofErr w:type="gramStart"/>
      <w:r>
        <w:t>base</w:t>
      </w:r>
      <w:proofErr w:type="gramEnd"/>
      <w:r>
        <w:t>. Chinese competitors (</w:t>
      </w:r>
      <w:proofErr w:type="spellStart"/>
      <w:r>
        <w:t>MicroPort</w:t>
      </w:r>
      <w:proofErr w:type="spellEnd"/>
      <w:r>
        <w:t xml:space="preserve">, TINAVI) are already NMPA-approved and price-competitive in China. Over a </w:t>
      </w:r>
      <w:proofErr w:type="gramStart"/>
      <w:r>
        <w:t>10-15 year</w:t>
      </w:r>
      <w:proofErr w:type="gramEnd"/>
      <w:r>
        <w:t xml:space="preserve"> horizon, it is plausible that 2-3 competitors achieve meaningful installed bases and create pricing pressure, especially in international markets where reimbursement is tighter. </w:t>
      </w:r>
      <w:proofErr w:type="spellStart"/>
      <w:r>
        <w:t>Intuitive's</w:t>
      </w:r>
      <w:proofErr w:type="spellEnd"/>
      <w:r>
        <w:t xml:space="preserve"> patent portfolio provides some protection, but key patents expire on rolling bases, and competitors are designing around them.</w:t>
      </w:r>
    </w:p>
    <w:p w14:paraId="6DE4B105" w14:textId="77777777" w:rsidR="00131690" w:rsidRDefault="00000000">
      <w:pPr>
        <w:pStyle w:val="Heading3"/>
      </w:pPr>
      <w:r>
        <w:t>What Investors May Be Over-Crediting</w:t>
      </w:r>
    </w:p>
    <w:p w14:paraId="7967F543" w14:textId="77777777" w:rsidR="00131690" w:rsidRDefault="00000000">
      <w:pPr>
        <w:spacing w:after="120" w:line="276" w:lineRule="auto"/>
      </w:pPr>
      <w:r>
        <w:t xml:space="preserve">Investors may be assuming permanent monopoly status. While </w:t>
      </w:r>
      <w:proofErr w:type="spellStart"/>
      <w:r>
        <w:t>Intuitive's</w:t>
      </w:r>
      <w:proofErr w:type="spellEnd"/>
      <w:r>
        <w:t xml:space="preserve"> moat is exceptionally deep, the 83.5% market share is likely to erode over the next decade as competitors achieve FDA clearance and build training programs. The question is not whether competition arrives, but at what pace and with what </w:t>
      </w:r>
      <w:proofErr w:type="gramStart"/>
      <w:r>
        <w:t>impact on</w:t>
      </w:r>
      <w:proofErr w:type="gramEnd"/>
      <w:r>
        <w:t xml:space="preserve"> pricing and growth. Investors paying 60x earnings are implicitly assuming that the moat holds for an extremely long time with minimal erosion. History in medical devices shows that dominant platforms can retain market leadership for decades but not at the same margin levels once real competition arrives.</w:t>
      </w:r>
    </w:p>
    <w:p w14:paraId="243913A3" w14:textId="77777777" w:rsidR="00131690" w:rsidRDefault="00000000">
      <w:pPr>
        <w:spacing w:after="120" w:line="276" w:lineRule="auto"/>
      </w:pPr>
      <w:r>
        <w:rPr>
          <w:b/>
          <w:bCs/>
        </w:rPr>
        <w:t>Contribution to Premium: Exceptional.</w:t>
      </w:r>
      <w:r>
        <w:t xml:space="preserve"> The installed base, surgeon training lock-in, and regulatory barriers create one of the most durable competitive positions in </w:t>
      </w:r>
      <w:proofErr w:type="gramStart"/>
      <w:r>
        <w:t>all of</w:t>
      </w:r>
      <w:proofErr w:type="gramEnd"/>
      <w:r>
        <w:t xml:space="preserve"> corporate America. The cash-flow stream has 15-20+ </w:t>
      </w:r>
      <w:proofErr w:type="gramStart"/>
      <w:r>
        <w:t>year</w:t>
      </w:r>
      <w:proofErr w:type="gramEnd"/>
      <w:r>
        <w:t xml:space="preserve"> visibility before competition could meaningfully erode it.</w:t>
      </w:r>
    </w:p>
    <w:p w14:paraId="3CB31747" w14:textId="77777777" w:rsidR="00131690" w:rsidRDefault="00000000">
      <w:pPr>
        <w:spacing w:after="120" w:line="276" w:lineRule="auto"/>
      </w:pPr>
      <w:r>
        <w:rPr>
          <w:b/>
          <w:bCs/>
        </w:rPr>
        <w:t xml:space="preserve">Verdict: </w:t>
      </w:r>
      <w:r>
        <w:t xml:space="preserve">This bucket exceptionally justifies paying more than for a market-average business. The combination of sunk capital, human capital lock-in, and regulatory barriers creates a moat that is structurally deeper and longer-lasting than what 99% of listed companies possess. A market-average business has no comparable mechanism for locking in cash flows over </w:t>
      </w:r>
      <w:proofErr w:type="gramStart"/>
      <w:r>
        <w:t>15-20 year</w:t>
      </w:r>
      <w:proofErr w:type="gramEnd"/>
      <w:r>
        <w:t xml:space="preserve"> horizons.</w:t>
      </w:r>
    </w:p>
    <w:p w14:paraId="3D90C813" w14:textId="77777777" w:rsidR="00131690" w:rsidRDefault="00000000">
      <w:pPr>
        <w:pStyle w:val="Heading2"/>
      </w:pPr>
      <w:r>
        <w:t>BUCKET 3: LOWER REINVESTMENT DRAG</w:t>
      </w:r>
    </w:p>
    <w:p w14:paraId="76584D1A" w14:textId="77777777" w:rsidR="00131690" w:rsidRDefault="00000000">
      <w:pPr>
        <w:pStyle w:val="Heading3"/>
      </w:pPr>
      <w:r>
        <w:t>Main Mechanism: Razor/Blade Recurring Revenue with High Gross Margins</w:t>
      </w:r>
    </w:p>
    <w:p w14:paraId="3492D43C" w14:textId="77777777" w:rsidR="00131690" w:rsidRDefault="00000000">
      <w:pPr>
        <w:spacing w:after="120" w:line="276" w:lineRule="auto"/>
      </w:pPr>
      <w:proofErr w:type="spellStart"/>
      <w:r>
        <w:t>Intuitive's</w:t>
      </w:r>
      <w:proofErr w:type="spellEnd"/>
      <w:r>
        <w:t xml:space="preserve"> consumables model generates high-margin recurring revenue without requiring new capital equipment sales. Once a system is placed, each procedure mechanically generates $700-2,000 in instrument revenue. Instruments &amp; accessories carry higher gross margins than systems. The 85% recurring revenue mix means that Intuitive does not need to rely on lumpy capital equipment sales to sustain cash flows. Gross margins of 67-69% are excellent for a company that manufactures physical products.</w:t>
      </w:r>
    </w:p>
    <w:p w14:paraId="7FE4C9F3" w14:textId="77777777" w:rsidR="00131690" w:rsidRDefault="00000000">
      <w:pPr>
        <w:pStyle w:val="Heading3"/>
      </w:pPr>
      <w:r>
        <w:t>Best Evidence</w:t>
      </w:r>
    </w:p>
    <w:p w14:paraId="07246C69" w14:textId="77777777" w:rsidR="00131690" w:rsidRDefault="00000000">
      <w:pPr>
        <w:spacing w:after="120" w:line="276" w:lineRule="auto"/>
      </w:pPr>
      <w:r>
        <w:t xml:space="preserve">FY2025 FCF of $2.5B (24.8% margin) was a significant improvement from $1.3B (15.6% margin) in 2024. ROIC of 21-26% exceeds </w:t>
      </w:r>
      <w:proofErr w:type="gramStart"/>
      <w:r>
        <w:t>the ~</w:t>
      </w:r>
      <w:proofErr w:type="gramEnd"/>
      <w:r>
        <w:t>13.5% WACC, confirming value creation. The balance sheet carries $3.4B in cash, $5.9B in short-term investments, and zero debt.</w:t>
      </w:r>
    </w:p>
    <w:p w14:paraId="1B5FB8CF" w14:textId="77777777" w:rsidR="00131690" w:rsidRDefault="00000000">
      <w:pPr>
        <w:pStyle w:val="Heading3"/>
      </w:pPr>
      <w:r>
        <w:t xml:space="preserve">Structural Limit / </w:t>
      </w:r>
      <w:proofErr w:type="gramStart"/>
      <w:r>
        <w:t>Counter-Evidence</w:t>
      </w:r>
      <w:proofErr w:type="gramEnd"/>
    </w:p>
    <w:p w14:paraId="4241ADAC" w14:textId="77777777" w:rsidR="00131690" w:rsidRDefault="00000000">
      <w:pPr>
        <w:spacing w:after="120" w:line="276" w:lineRule="auto"/>
      </w:pPr>
      <w:r>
        <w:lastRenderedPageBreak/>
        <w:t>The reinvestment burden is higher than for a pure software business. Capex is $1.1-1.3B annually (12-13% of revenue), reflecting manufacturing facilities, logistics, and system production. R&amp;D is $1.15-1.25B annually (12-14% of revenue), driven by the need to maintain technological leadership against Medtronic and J&amp;J. Total capex + R&amp;D approaches 25% of revenue. SBC adds another ~8% ($677M annually). The 2025 FCF margin of 24.8% is a significant improvement over 2024's 15.6%, but the 2024 figure was depressed by inventory builds for da Vinci 5; the normalized FCF margin is likely 20-25%, not the 25% headline. Additionally, maintaining competitive leadership will require sustained R&amp;D spending. The da Vinci 5 was a multi-billion-dollar development program; future platforms will require similar investment.</w:t>
      </w:r>
    </w:p>
    <w:p w14:paraId="6CB07C78" w14:textId="77777777" w:rsidR="00131690" w:rsidRDefault="00000000">
      <w:pPr>
        <w:pStyle w:val="Heading3"/>
      </w:pPr>
      <w:r>
        <w:t>What Investors May Be Over-Crediting</w:t>
      </w:r>
    </w:p>
    <w:p w14:paraId="49A3F164" w14:textId="77777777" w:rsidR="00131690" w:rsidRDefault="00000000">
      <w:pPr>
        <w:spacing w:after="120" w:line="276" w:lineRule="auto"/>
      </w:pPr>
      <w:r>
        <w:t xml:space="preserve">Investors may view the 85% recurring revenue as implying low reinvestment needs. But the recurring revenue requires a massive installed base that must be maintained, upgraded, and defended through R&amp;D and manufacturing investment. Unlike software, </w:t>
      </w:r>
      <w:proofErr w:type="spellStart"/>
      <w:r>
        <w:t>Intuitive's</w:t>
      </w:r>
      <w:proofErr w:type="spellEnd"/>
      <w:r>
        <w:t xml:space="preserve"> instruments are physical products that require manufacturing capacity, supply chain management, and quality control. The 12-13% capex intensity is meaningfully above a market-average business. The 2025 FCF margin of 25% may create an impression of capital-light economics, but this is a company spending $2.5B+ annually on capex + R&amp;D.</w:t>
      </w:r>
    </w:p>
    <w:p w14:paraId="31707573" w14:textId="77777777" w:rsidR="00131690" w:rsidRDefault="00000000">
      <w:pPr>
        <w:spacing w:after="120" w:line="276" w:lineRule="auto"/>
      </w:pPr>
      <w:r>
        <w:rPr>
          <w:b/>
          <w:bCs/>
        </w:rPr>
        <w:t>Contribution to Premium: Moderate.</w:t>
      </w:r>
      <w:r>
        <w:t xml:space="preserve"> The recurring revenue model and high gross margins are genuinely superior to a market-average business. But 25% of revenue reinvested in capex + R&amp;D is a meaningful drag, and physical manufacturing requirements prevent this from being a truly asset-light business.</w:t>
      </w:r>
    </w:p>
    <w:p w14:paraId="42569ABD" w14:textId="77777777" w:rsidR="00131690" w:rsidRDefault="00000000">
      <w:pPr>
        <w:spacing w:after="120" w:line="276" w:lineRule="auto"/>
      </w:pPr>
      <w:r>
        <w:rPr>
          <w:b/>
          <w:bCs/>
        </w:rPr>
        <w:t xml:space="preserve">Verdict: </w:t>
      </w:r>
      <w:r>
        <w:t>This bucket moderately justifies a premium. The razor/blade model creates genuinely efficient economics, but the physical manufacturing and R&amp;D requirements make this a moderate-reinvestment business, not a low-reinvestment one. The premium here is real but limited.</w:t>
      </w:r>
    </w:p>
    <w:p w14:paraId="0F7B15F6" w14:textId="77777777" w:rsidR="00131690" w:rsidRDefault="00000000">
      <w:pPr>
        <w:pStyle w:val="Heading2"/>
      </w:pPr>
      <w:r>
        <w:t>BUCKET 4: LOWER FRAGILITY OF CASH FLOWS</w:t>
      </w:r>
    </w:p>
    <w:p w14:paraId="000634EB" w14:textId="77777777" w:rsidR="00131690" w:rsidRDefault="00000000">
      <w:pPr>
        <w:pStyle w:val="Heading3"/>
      </w:pPr>
      <w:r>
        <w:t>Main Mechanism: Non-Discretionary Surgical Procedure Volume + Fortress Balance Sheet</w:t>
      </w:r>
    </w:p>
    <w:p w14:paraId="0928D7D8" w14:textId="77777777" w:rsidR="00131690" w:rsidRDefault="00000000">
      <w:pPr>
        <w:spacing w:after="120" w:line="276" w:lineRule="auto"/>
      </w:pPr>
      <w:r>
        <w:t>Surgical procedures are largely non-discretionary: patients need surgery regardless of economic conditions. While elective procedures may be deferred during downturns, the core procedure types where da Vinci is used (cancer surgeries, hernia repairs, hysterectomies) are medically necessary. This creates a natural floor under procedure volume that most businesses do not have. The balance sheet is pristine: $3.4B cash + $5.9B short-term investments, zero debt.</w:t>
      </w:r>
    </w:p>
    <w:p w14:paraId="7EED1CFC" w14:textId="77777777" w:rsidR="00131690" w:rsidRDefault="00000000">
      <w:pPr>
        <w:pStyle w:val="Heading3"/>
      </w:pPr>
      <w:r>
        <w:t>Best Evidence</w:t>
      </w:r>
    </w:p>
    <w:p w14:paraId="697DDAC9" w14:textId="77777777" w:rsidR="00131690" w:rsidRDefault="00000000">
      <w:pPr>
        <w:spacing w:after="120" w:line="276" w:lineRule="auto"/>
      </w:pPr>
      <w:r>
        <w:t xml:space="preserve">During the 2020 COVID pandemic, Intuitive experienced a sharp Q2 procedure decline as hospitals suspended elective surgeries, but volumes recovered rapidly in Q3-Q4 2020 and surged in 2021 (+28% procedure growth). Revenue declined only modestly in FY2020 and </w:t>
      </w:r>
      <w:r>
        <w:lastRenderedPageBreak/>
        <w:t xml:space="preserve">recovered to new highs within one year. The company has never reported a full-year revenue decline greater than 5%. Over the 2022 market drawdown, </w:t>
      </w:r>
      <w:proofErr w:type="spellStart"/>
      <w:r>
        <w:t>Intuitive's</w:t>
      </w:r>
      <w:proofErr w:type="spellEnd"/>
      <w:r>
        <w:t xml:space="preserve"> business fundamentals were unaffected even as the stock declined.</w:t>
      </w:r>
    </w:p>
    <w:p w14:paraId="1C3F46BC" w14:textId="77777777" w:rsidR="00131690" w:rsidRDefault="00000000">
      <w:pPr>
        <w:pStyle w:val="Heading3"/>
      </w:pPr>
      <w:r>
        <w:t xml:space="preserve">Structural Limit / </w:t>
      </w:r>
      <w:proofErr w:type="gramStart"/>
      <w:r>
        <w:t>Counter-Evidence</w:t>
      </w:r>
      <w:proofErr w:type="gramEnd"/>
    </w:p>
    <w:p w14:paraId="42895B7C" w14:textId="77777777" w:rsidR="00131690" w:rsidRDefault="00000000">
      <w:pPr>
        <w:spacing w:after="120" w:line="276" w:lineRule="auto"/>
      </w:pPr>
      <w:r>
        <w:t xml:space="preserve">Several fragility factors deserve attention. First, the FDA safety alert in March 2026 regarding a </w:t>
      </w:r>
      <w:proofErr w:type="spellStart"/>
      <w:r>
        <w:t>SureForm</w:t>
      </w:r>
      <w:proofErr w:type="spellEnd"/>
      <w:r>
        <w:t xml:space="preserve"> stapler defect highlights regulatory risk that could expand if systemic quality issues emerge. Second, reimbursement risk is real: new procedures require CPT/payer approval, and international markets face budget pressures that could slow adoption. Third, China geopolitical risk is material: tariffs, export controls, and domestic competitor preferences could significantly erode one of the largest growth markets. Fourth, the 2026 tariff impact of 1.2% of revenue demonstrates macro sensitivity. Fifth, the entire business depends on a single product platform; any paradigm </w:t>
      </w:r>
      <w:proofErr w:type="gramStart"/>
      <w:r>
        <w:t>shift</w:t>
      </w:r>
      <w:proofErr w:type="gramEnd"/>
      <w:r>
        <w:t xml:space="preserve"> away from robotic-assisted surgery (e.g., AI-guided non-robotic techniques, or a safety scandal) would devastate the business.</w:t>
      </w:r>
    </w:p>
    <w:p w14:paraId="2A877EF0" w14:textId="77777777" w:rsidR="00131690" w:rsidRDefault="00000000">
      <w:pPr>
        <w:pStyle w:val="Heading3"/>
      </w:pPr>
      <w:r>
        <w:t>What Investors May Be Over-Crediting</w:t>
      </w:r>
    </w:p>
    <w:p w14:paraId="2B1D7D54" w14:textId="77777777" w:rsidR="00131690" w:rsidRDefault="00000000">
      <w:pPr>
        <w:spacing w:after="120" w:line="276" w:lineRule="auto"/>
      </w:pPr>
      <w:r>
        <w:t xml:space="preserve">Investors may assume that surgical procedure volumes are immune to economic and regulatory disruption. While procedures are less discretionary than most products, hospital capital budgets for system placements and expansions are highly cyclical. A severe recession could freeze new system purchases and reduce utilization of existing systems. The COVID-19 experience, while ultimately benign, demonstrated that procedure volumes can drop 30-40% in a quarter. </w:t>
      </w:r>
      <w:proofErr w:type="gramStart"/>
      <w:r>
        <w:t>The concentration</w:t>
      </w:r>
      <w:proofErr w:type="gramEnd"/>
      <w:r>
        <w:t xml:space="preserve"> on a single product platform is a meaningful fragility factor that diversified medtech companies do not face.</w:t>
      </w:r>
    </w:p>
    <w:p w14:paraId="255DC593" w14:textId="77777777" w:rsidR="00131690" w:rsidRDefault="00000000">
      <w:pPr>
        <w:spacing w:after="120" w:line="276" w:lineRule="auto"/>
      </w:pPr>
      <w:r>
        <w:rPr>
          <w:b/>
          <w:bCs/>
        </w:rPr>
        <w:t>Contribution to Premium: Moderate to Strong.</w:t>
      </w:r>
      <w:r>
        <w:t xml:space="preserve"> Procedure volume is structurally less fragile than most revenue streams, and the balance sheet provides exceptional financial resilience. But single-platform risk, regulatory exposure, and geopolitical factors create meaningful fragility that partially offsets the non-discretionary demand advantage.</w:t>
      </w:r>
    </w:p>
    <w:p w14:paraId="19716BE0" w14:textId="77777777" w:rsidR="00131690" w:rsidRDefault="00000000">
      <w:pPr>
        <w:spacing w:after="120" w:line="276" w:lineRule="auto"/>
      </w:pPr>
      <w:r>
        <w:rPr>
          <w:b/>
          <w:bCs/>
        </w:rPr>
        <w:t xml:space="preserve">Verdict: </w:t>
      </w:r>
      <w:r>
        <w:t xml:space="preserve">This bucket moderately </w:t>
      </w:r>
      <w:proofErr w:type="gramStart"/>
      <w:r>
        <w:t>to</w:t>
      </w:r>
      <w:proofErr w:type="gramEnd"/>
      <w:r>
        <w:t xml:space="preserve"> strongly justifies a premium. Non-discretionary surgical demand creates a genuine floor under cash flows that most businesses lack. However, single-platform concentration and regulatory/geopolitical risks prevent this from being truly low-fragility in an absolute sense.</w:t>
      </w:r>
    </w:p>
    <w:p w14:paraId="2F443130" w14:textId="77777777" w:rsidR="00131690" w:rsidRDefault="00000000">
      <w:pPr>
        <w:pStyle w:val="Heading2"/>
      </w:pPr>
      <w:r>
        <w:t>INVESTOR SYNTHESIS TABLE: INTUITIVE SURGICAL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2060"/>
        <w:gridCol w:w="2093"/>
        <w:gridCol w:w="1400"/>
        <w:gridCol w:w="2384"/>
      </w:tblGrid>
      <w:tr w:rsidR="00131690" w14:paraId="6FD817CF" w14:textId="77777777">
        <w:tblPrEx>
          <w:tblCellMar>
            <w:top w:w="0" w:type="dxa"/>
            <w:bottom w:w="0" w:type="dxa"/>
          </w:tblCellMar>
        </w:tblPrEx>
        <w:trPr>
          <w:tblHeader/>
        </w:trPr>
        <w:tc>
          <w:tcPr>
            <w:tcW w:w="1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661FDCD8" w14:textId="77777777" w:rsidR="00131690" w:rsidRDefault="00000000">
            <w:r>
              <w:rPr>
                <w:b/>
                <w:bCs/>
                <w:color w:val="FFFFFF"/>
                <w:sz w:val="20"/>
                <w:szCs w:val="20"/>
              </w:rPr>
              <w:t>Bucket</w:t>
            </w:r>
          </w:p>
        </w:tc>
        <w:tc>
          <w:tcPr>
            <w:tcW w:w="2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6F684593" w14:textId="77777777" w:rsidR="00131690" w:rsidRDefault="00000000">
            <w:r>
              <w:rPr>
                <w:b/>
                <w:bCs/>
                <w:color w:val="FFFFFF"/>
                <w:sz w:val="20"/>
                <w:szCs w:val="20"/>
              </w:rPr>
              <w:t>Key Support</w:t>
            </w:r>
          </w:p>
        </w:tc>
        <w:tc>
          <w:tcPr>
            <w:tcW w:w="2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0E4202F4" w14:textId="77777777" w:rsidR="00131690" w:rsidRDefault="00000000">
            <w:r>
              <w:rPr>
                <w:b/>
                <w:bCs/>
                <w:color w:val="FFFFFF"/>
                <w:sz w:val="20"/>
                <w:szCs w:val="20"/>
              </w:rPr>
              <w:t>Key Limit</w:t>
            </w:r>
          </w:p>
        </w:tc>
        <w:tc>
          <w:tcPr>
            <w:tcW w:w="12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15780982" w14:textId="77777777" w:rsidR="00131690" w:rsidRDefault="00000000">
            <w:r>
              <w:rPr>
                <w:b/>
                <w:bCs/>
                <w:color w:val="FFFFFF"/>
                <w:sz w:val="20"/>
                <w:szCs w:val="20"/>
              </w:rPr>
              <w:t>Premium Contribution</w:t>
            </w:r>
          </w:p>
        </w:tc>
        <w:tc>
          <w:tcPr>
            <w:tcW w:w="256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391182EA" w14:textId="77777777" w:rsidR="00131690" w:rsidRDefault="00000000">
            <w:r>
              <w:rPr>
                <w:b/>
                <w:bCs/>
                <w:color w:val="FFFFFF"/>
                <w:sz w:val="20"/>
                <w:szCs w:val="20"/>
              </w:rPr>
              <w:t>Final Takeaway</w:t>
            </w:r>
          </w:p>
        </w:tc>
      </w:tr>
      <w:tr w:rsidR="00131690" w14:paraId="203A92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164102" w14:textId="77777777" w:rsidR="00131690" w:rsidRDefault="00000000">
            <w:r>
              <w:rPr>
                <w:sz w:val="20"/>
                <w:szCs w:val="20"/>
              </w:rPr>
              <w:t>1. More Future Cash Flows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C8B748" w14:textId="77777777" w:rsidR="00131690" w:rsidRDefault="00000000">
            <w:r>
              <w:rPr>
                <w:sz w:val="20"/>
                <w:szCs w:val="20"/>
              </w:rPr>
              <w:t>18% procedure growth; da Vinci 5 adoption; cardiac expansion; international 23% growth</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BF88F" w14:textId="77777777" w:rsidR="00131690" w:rsidRDefault="00000000">
            <w:r>
              <w:rPr>
                <w:sz w:val="20"/>
                <w:szCs w:val="20"/>
              </w:rPr>
              <w:t>2026 guidance deceleration to 13-15%; U.S. maturation; tariff/margin pressure; competition in 3-5 years</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EB50A7" w14:textId="77777777" w:rsidR="00131690" w:rsidRDefault="00000000">
            <w:r>
              <w:rPr>
                <w:sz w:val="20"/>
                <w:szCs w:val="20"/>
              </w:rPr>
              <w:t>Strong</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81FFAF" w14:textId="77777777" w:rsidR="00131690" w:rsidRDefault="00000000">
            <w:r>
              <w:rPr>
                <w:sz w:val="20"/>
                <w:szCs w:val="20"/>
              </w:rPr>
              <w:t>Structurally driven growth at 3-5x market average with genuine long-runway</w:t>
            </w:r>
          </w:p>
        </w:tc>
      </w:tr>
      <w:tr w:rsidR="00131690" w14:paraId="2B9E02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19AFDF" w14:textId="77777777" w:rsidR="00131690" w:rsidRDefault="00000000">
            <w:r>
              <w:rPr>
                <w:sz w:val="20"/>
                <w:szCs w:val="20"/>
              </w:rPr>
              <w:lastRenderedPageBreak/>
              <w:t>2. Longer Duration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7CBA41" w14:textId="77777777" w:rsidR="00131690" w:rsidRDefault="00000000">
            <w:r>
              <w:rPr>
                <w:sz w:val="20"/>
                <w:szCs w:val="20"/>
              </w:rPr>
              <w:t>11,100+ installed base ($25B+ sunk capital); 76,000-90,000 trained surgeons; 83.5% market share; regulatory head start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022AF5" w14:textId="77777777" w:rsidR="00131690" w:rsidRDefault="00000000">
            <w:r>
              <w:rPr>
                <w:sz w:val="20"/>
                <w:szCs w:val="20"/>
              </w:rPr>
              <w:t>Hugo FDA-cleared Dec 2025; Ottava FDA-submitted Jan 2026; Chinese competitors in China; eventual market share erosion</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36AD3B" w14:textId="77777777" w:rsidR="00131690" w:rsidRDefault="00000000">
            <w:r>
              <w:rPr>
                <w:sz w:val="20"/>
                <w:szCs w:val="20"/>
              </w:rPr>
              <w:t>Exceptional</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A07B10" w14:textId="77777777" w:rsidR="00131690" w:rsidRDefault="00000000">
            <w:r>
              <w:rPr>
                <w:sz w:val="20"/>
                <w:szCs w:val="20"/>
              </w:rPr>
              <w:t>Dominant bucket; among the deepest moats in corporate America</w:t>
            </w:r>
          </w:p>
        </w:tc>
      </w:tr>
      <w:tr w:rsidR="00131690" w14:paraId="43412E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CD4C53" w14:textId="77777777" w:rsidR="00131690" w:rsidRDefault="00000000">
            <w:r>
              <w:rPr>
                <w:sz w:val="20"/>
                <w:szCs w:val="20"/>
              </w:rPr>
              <w:t>3. Lower Reinvestment Drag</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F6023D" w14:textId="77777777" w:rsidR="00131690" w:rsidRDefault="00000000">
            <w:r>
              <w:rPr>
                <w:sz w:val="20"/>
                <w:szCs w:val="20"/>
              </w:rPr>
              <w:t>85% recurring revenue; 25% FCF margin; 67-69% gross margins; zero debt; $9.3B liquid assets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C0C230" w14:textId="77777777" w:rsidR="00131690" w:rsidRDefault="00000000">
            <w:r>
              <w:rPr>
                <w:sz w:val="20"/>
                <w:szCs w:val="20"/>
              </w:rPr>
              <w:t>25% of revenue in capex + R&amp;D; SBC 8% of revenue; physical manufacturing; multi-billion-dollar platform development cycles</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E69815" w14:textId="77777777" w:rsidR="00131690" w:rsidRDefault="00000000">
            <w:r>
              <w:rPr>
                <w:sz w:val="20"/>
                <w:szCs w:val="20"/>
              </w:rPr>
              <w:t>Moderate</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654628" w14:textId="77777777" w:rsidR="00131690" w:rsidRDefault="00000000">
            <w:r>
              <w:rPr>
                <w:sz w:val="20"/>
                <w:szCs w:val="20"/>
              </w:rPr>
              <w:t xml:space="preserve">Better than </w:t>
            </w:r>
            <w:proofErr w:type="gramStart"/>
            <w:r>
              <w:rPr>
                <w:sz w:val="20"/>
                <w:szCs w:val="20"/>
              </w:rPr>
              <w:t>market-average</w:t>
            </w:r>
            <w:proofErr w:type="gramEnd"/>
            <w:r>
              <w:rPr>
                <w:sz w:val="20"/>
                <w:szCs w:val="20"/>
              </w:rPr>
              <w:t xml:space="preserve"> but not asset-light; manufacturing reality limits advantage</w:t>
            </w:r>
          </w:p>
        </w:tc>
      </w:tr>
      <w:tr w:rsidR="00131690" w14:paraId="0D5C27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B1C4AA" w14:textId="77777777" w:rsidR="00131690" w:rsidRDefault="00000000">
            <w:r>
              <w:rPr>
                <w:sz w:val="20"/>
                <w:szCs w:val="20"/>
              </w:rPr>
              <w:t>4. Lower Fragility</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D278AF" w14:textId="77777777" w:rsidR="00131690" w:rsidRDefault="00000000">
            <w:r>
              <w:rPr>
                <w:sz w:val="20"/>
                <w:szCs w:val="20"/>
              </w:rPr>
              <w:t>Non-discretionary surgical procedures; rapid COVID recovery; fortress balance sheet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6CC3FE" w14:textId="77777777" w:rsidR="00131690" w:rsidRDefault="00000000">
            <w:r>
              <w:rPr>
                <w:sz w:val="20"/>
                <w:szCs w:val="20"/>
              </w:rPr>
              <w:t>Single product platform; FDA safety alert (March 2026); China geo risk; tariff exposure; reimbursement risk</w:t>
            </w:r>
          </w:p>
        </w:tc>
        <w:tc>
          <w:tcPr>
            <w:tcW w:w="1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A7A8C4" w14:textId="77777777" w:rsidR="00131690" w:rsidRDefault="00000000">
            <w:r>
              <w:rPr>
                <w:sz w:val="20"/>
                <w:szCs w:val="20"/>
              </w:rPr>
              <w:t>Moderate to Strong</w:t>
            </w:r>
          </w:p>
        </w:tc>
        <w:tc>
          <w:tcPr>
            <w:tcW w:w="2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02113C" w14:textId="77777777" w:rsidR="00131690" w:rsidRDefault="00000000">
            <w:r>
              <w:rPr>
                <w:sz w:val="20"/>
                <w:szCs w:val="20"/>
              </w:rPr>
              <w:t xml:space="preserve">Procedure demand is </w:t>
            </w:r>
            <w:proofErr w:type="gramStart"/>
            <w:r>
              <w:rPr>
                <w:sz w:val="20"/>
                <w:szCs w:val="20"/>
              </w:rPr>
              <w:t>resilient</w:t>
            </w:r>
            <w:proofErr w:type="gramEnd"/>
            <w:r>
              <w:rPr>
                <w:sz w:val="20"/>
                <w:szCs w:val="20"/>
              </w:rPr>
              <w:t xml:space="preserve"> but platform concentration and regulatory risk are real</w:t>
            </w:r>
          </w:p>
        </w:tc>
      </w:tr>
    </w:tbl>
    <w:p w14:paraId="2357D745" w14:textId="77777777" w:rsidR="00131690" w:rsidRDefault="00131690">
      <w:pPr>
        <w:spacing w:after="100" w:line="276" w:lineRule="auto"/>
      </w:pPr>
    </w:p>
    <w:p w14:paraId="7BEA3772" w14:textId="77777777" w:rsidR="00131690" w:rsidRDefault="00000000">
      <w:pPr>
        <w:spacing w:after="120" w:line="276" w:lineRule="auto"/>
      </w:pPr>
      <w:r>
        <w:rPr>
          <w:b/>
          <w:bCs/>
          <w:sz w:val="24"/>
          <w:szCs w:val="24"/>
        </w:rPr>
        <w:t>Final Classification: Large to Extreme Premium.</w:t>
      </w:r>
      <w:r>
        <w:t xml:space="preserve"> Intuitive </w:t>
      </w:r>
      <w:proofErr w:type="spellStart"/>
      <w:r>
        <w:t>Surgical's</w:t>
      </w:r>
      <w:proofErr w:type="spellEnd"/>
      <w:r>
        <w:t xml:space="preserve"> earnings deserve a large to extreme premium over a market-average business. The business scores well across all four buckets, which is rare. The duration bucket is exceptional: the installed base, surgeon training lock-in, and regulatory barriers create one of the deepest moats in the public markets. Growth is strong and structurally driven. Fragility is moderate. The primary constraint on assigning a full Extreme premium is the reinvestment drag (25% of revenue in capex + R&amp;D is meaningful), emerging competition that will eventually erode the monopoly position, and single-platform concentration. To clearly deserve an Extreme premium, Intuitive would need either lower reinvestment requirements (impossible given physical manufacturing and R&amp;D needs) or a more diversified product portfolio. The 60x trailing P/E is pricing in an Extreme premium, which requires near-flawless execution across all dimensions; any stumble in growth, margins, or competitive positioning could result in significant multiple compression.</w:t>
      </w:r>
    </w:p>
    <w:p w14:paraId="635E1842" w14:textId="77777777" w:rsidR="00131690" w:rsidRDefault="00000000">
      <w:pPr>
        <w:pStyle w:val="Heading1"/>
        <w:pageBreakBefore/>
      </w:pPr>
      <w:r>
        <w:lastRenderedPageBreak/>
        <w:t>COMPARATIVE SUMMARY</w:t>
      </w:r>
    </w:p>
    <w:p w14:paraId="2BD581F5" w14:textId="77777777" w:rsidR="00131690" w:rsidRDefault="00000000">
      <w:pPr>
        <w:pStyle w:val="Heading2"/>
      </w:pPr>
      <w:r>
        <w:t>Cross-Company Premium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2000"/>
        <w:gridCol w:w="2360"/>
      </w:tblGrid>
      <w:tr w:rsidR="00131690" w14:paraId="081ED28D" w14:textId="77777777">
        <w:tblPrEx>
          <w:tblCellMar>
            <w:top w:w="0" w:type="dxa"/>
            <w:bottom w:w="0" w:type="dxa"/>
          </w:tblCellMar>
        </w:tblPrEx>
        <w:trPr>
          <w:tblHeader/>
        </w:trPr>
        <w:tc>
          <w:tcPr>
            <w:tcW w:w="15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38E74FA6" w14:textId="77777777" w:rsidR="00131690" w:rsidRDefault="00000000">
            <w:r>
              <w:rPr>
                <w:b/>
                <w:bCs/>
                <w:color w:val="FFFFFF"/>
                <w:sz w:val="20"/>
                <w:szCs w:val="20"/>
              </w:rPr>
              <w:t>Company</w:t>
            </w:r>
          </w:p>
        </w:tc>
        <w:tc>
          <w:tcPr>
            <w:tcW w:w="15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1CE75D43" w14:textId="77777777" w:rsidR="00131690" w:rsidRDefault="00000000">
            <w:r>
              <w:rPr>
                <w:b/>
                <w:bCs/>
                <w:color w:val="FFFFFF"/>
                <w:sz w:val="20"/>
                <w:szCs w:val="20"/>
              </w:rPr>
              <w:t>Premium Category</w:t>
            </w:r>
          </w:p>
        </w:tc>
        <w:tc>
          <w:tcPr>
            <w:tcW w:w="20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72F19187" w14:textId="77777777" w:rsidR="00131690" w:rsidRDefault="00000000">
            <w:r>
              <w:rPr>
                <w:b/>
                <w:bCs/>
                <w:color w:val="FFFFFF"/>
                <w:sz w:val="20"/>
                <w:szCs w:val="20"/>
              </w:rPr>
              <w:t>Dominant Bucket</w:t>
            </w:r>
          </w:p>
        </w:tc>
        <w:tc>
          <w:tcPr>
            <w:tcW w:w="200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3868DF1B" w14:textId="77777777" w:rsidR="00131690" w:rsidRDefault="00000000">
            <w:r>
              <w:rPr>
                <w:b/>
                <w:bCs/>
                <w:color w:val="FFFFFF"/>
                <w:sz w:val="20"/>
                <w:szCs w:val="20"/>
              </w:rPr>
              <w:t>Weakest Bucket</w:t>
            </w:r>
          </w:p>
        </w:tc>
        <w:tc>
          <w:tcPr>
            <w:tcW w:w="2360" w:type="dxa"/>
            <w:tcBorders>
              <w:top w:val="single" w:sz="1" w:space="0" w:color="2E5090"/>
              <w:left w:val="single" w:sz="1" w:space="0" w:color="2E5090"/>
              <w:bottom w:val="single" w:sz="1" w:space="0" w:color="2E5090"/>
              <w:right w:val="single" w:sz="1" w:space="0" w:color="2E5090"/>
            </w:tcBorders>
            <w:shd w:val="clear" w:color="auto" w:fill="1B3A5C"/>
            <w:tcMar>
              <w:top w:w="60" w:type="dxa"/>
              <w:left w:w="100" w:type="dxa"/>
              <w:bottom w:w="60" w:type="dxa"/>
              <w:right w:w="100" w:type="dxa"/>
            </w:tcMar>
            <w:vAlign w:val="center"/>
          </w:tcPr>
          <w:p w14:paraId="2A43DA6A" w14:textId="77777777" w:rsidR="00131690" w:rsidRDefault="00000000">
            <w:r>
              <w:rPr>
                <w:b/>
                <w:bCs/>
                <w:color w:val="FFFFFF"/>
                <w:sz w:val="20"/>
                <w:szCs w:val="20"/>
              </w:rPr>
              <w:t>Key Risk</w:t>
            </w:r>
          </w:p>
        </w:tc>
      </w:tr>
      <w:tr w:rsidR="00131690" w14:paraId="79AB31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802DFC" w14:textId="77777777" w:rsidR="00131690" w:rsidRDefault="00000000">
            <w:r>
              <w:rPr>
                <w:sz w:val="20"/>
                <w:szCs w:val="20"/>
              </w:rPr>
              <w:t>Intuitive Surgical (ISRG)</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70F051" w14:textId="77777777" w:rsidR="00131690" w:rsidRDefault="00000000">
            <w:r>
              <w:rPr>
                <w:sz w:val="20"/>
                <w:szCs w:val="20"/>
              </w:rPr>
              <w:t>Large to Extreme</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C0301E" w14:textId="77777777" w:rsidR="00131690" w:rsidRDefault="00000000">
            <w:r>
              <w:rPr>
                <w:sz w:val="20"/>
                <w:szCs w:val="20"/>
              </w:rPr>
              <w:t>Duration (Exceptional)</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029675" w14:textId="77777777" w:rsidR="00131690" w:rsidRDefault="00000000">
            <w:r>
              <w:rPr>
                <w:sz w:val="20"/>
                <w:szCs w:val="20"/>
              </w:rPr>
              <w:t>Reinvestment Drag (Moderate)</w:t>
            </w:r>
          </w:p>
        </w:tc>
        <w:tc>
          <w:tcPr>
            <w:tcW w:w="2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53031C" w14:textId="77777777" w:rsidR="00131690" w:rsidRDefault="00000000">
            <w:r>
              <w:rPr>
                <w:sz w:val="20"/>
                <w:szCs w:val="20"/>
              </w:rPr>
              <w:t>Emerging competition; single-platform concentration; 60x P/E demands perfection</w:t>
            </w:r>
          </w:p>
        </w:tc>
      </w:tr>
      <w:tr w:rsidR="00131690" w14:paraId="1F09AF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876373" w14:textId="77777777" w:rsidR="00131690" w:rsidRDefault="00000000">
            <w:r>
              <w:rPr>
                <w:sz w:val="20"/>
                <w:szCs w:val="20"/>
              </w:rPr>
              <w:t>Veeva Systems (VEEV)</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FF04D2" w14:textId="77777777" w:rsidR="00131690" w:rsidRDefault="00000000">
            <w:r>
              <w:rPr>
                <w:sz w:val="20"/>
                <w:szCs w:val="20"/>
              </w:rPr>
              <w:t>Large</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68E885" w14:textId="77777777" w:rsidR="00131690" w:rsidRDefault="00000000">
            <w:r>
              <w:rPr>
                <w:sz w:val="20"/>
                <w:szCs w:val="20"/>
              </w:rPr>
              <w:t>Duration (Strong)</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AD164D" w14:textId="77777777" w:rsidR="00131690" w:rsidRDefault="00000000">
            <w:r>
              <w:rPr>
                <w:sz w:val="20"/>
                <w:szCs w:val="20"/>
              </w:rPr>
              <w:t>Growth (Moderate; structurally capped)</w:t>
            </w:r>
          </w:p>
        </w:tc>
        <w:tc>
          <w:tcPr>
            <w:tcW w:w="2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3D5599" w14:textId="77777777" w:rsidR="00131690" w:rsidRDefault="00000000">
            <w:r>
              <w:rPr>
                <w:sz w:val="20"/>
                <w:szCs w:val="20"/>
              </w:rPr>
              <w:t>Single-vertical dependency; Salesforce competition; SBC dilution</w:t>
            </w:r>
          </w:p>
        </w:tc>
      </w:tr>
      <w:tr w:rsidR="00131690" w14:paraId="20938BE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977D15" w14:textId="77777777" w:rsidR="00131690" w:rsidRDefault="00000000">
            <w:r>
              <w:rPr>
                <w:sz w:val="20"/>
                <w:szCs w:val="20"/>
              </w:rPr>
              <w:t>EMCOR Group (EME)</w:t>
            </w:r>
          </w:p>
        </w:tc>
        <w:tc>
          <w:tcPr>
            <w:tcW w:w="15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A6737C" w14:textId="77777777" w:rsidR="00131690" w:rsidRDefault="00000000">
            <w:r>
              <w:rPr>
                <w:sz w:val="20"/>
                <w:szCs w:val="20"/>
              </w:rPr>
              <w:t>Small to Medium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A92240" w14:textId="77777777" w:rsidR="00131690" w:rsidRDefault="00000000">
            <w:r>
              <w:rPr>
                <w:sz w:val="20"/>
                <w:szCs w:val="20"/>
              </w:rPr>
              <w:t>Growth (Moderate)</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93F906" w14:textId="77777777" w:rsidR="00131690" w:rsidRDefault="00000000">
            <w:r>
              <w:rPr>
                <w:sz w:val="20"/>
                <w:szCs w:val="20"/>
              </w:rPr>
              <w:t>Duration (Weak); Fragility (None/Discount)</w:t>
            </w:r>
          </w:p>
        </w:tc>
        <w:tc>
          <w:tcPr>
            <w:tcW w:w="2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C513C1" w14:textId="77777777" w:rsidR="00131690" w:rsidRDefault="00000000">
            <w:r>
              <w:rPr>
                <w:sz w:val="20"/>
                <w:szCs w:val="20"/>
              </w:rPr>
              <w:t>Cyclicality of construction; project-based with no structural lock-in; 59% earnings decline in 2020</w:t>
            </w:r>
          </w:p>
        </w:tc>
      </w:tr>
    </w:tbl>
    <w:p w14:paraId="576B3758" w14:textId="77777777" w:rsidR="00131690" w:rsidRDefault="00131690">
      <w:pPr>
        <w:spacing w:after="200" w:line="276" w:lineRule="auto"/>
      </w:pPr>
    </w:p>
    <w:p w14:paraId="473712AB" w14:textId="77777777" w:rsidR="00131690" w:rsidRDefault="00000000">
      <w:pPr>
        <w:pStyle w:val="Heading2"/>
      </w:pPr>
      <w:r>
        <w:t>Key Comparative Insight</w:t>
      </w:r>
    </w:p>
    <w:p w14:paraId="26D412F3" w14:textId="77777777" w:rsidR="00131690" w:rsidRDefault="00000000">
      <w:pPr>
        <w:spacing w:after="120" w:line="276" w:lineRule="auto"/>
      </w:pPr>
      <w:r>
        <w:t xml:space="preserve">The three companies illustrate a fundamental principle of multiple analysis: the quality of the earnings matters more than the quantity. EMCOR currently has the highest earnings growth rate (16.6%) and expanding margins, but its earnings are cyclical, project-based, and competitively bid, justifying only a small-to-medium premium. Veeva has moderate growth (15-16%) but exceptionally durable, recurring earnings anchored by regulatory switching costs, justifying a large premium. Intuitive has strong growth (18-20%) with the deepest moat of the three, justifying a large-to-extreme premium. The market currently prices EMCOR at 25.7x, Veeva at 32.9x, and Intuitive at 60.7x trailing earnings. The market's relative pricing appears directionally correct, though EMCOR's multiple may over-credit the sustainability of its current cyclical peak, and </w:t>
      </w:r>
      <w:proofErr w:type="spellStart"/>
      <w:r>
        <w:t>Intuitive's</w:t>
      </w:r>
      <w:proofErr w:type="spellEnd"/>
      <w:r>
        <w:t xml:space="preserve"> 60x multiple leaves no room for execution missteps.</w:t>
      </w:r>
    </w:p>
    <w:p w14:paraId="30E7AC2D" w14:textId="77777777" w:rsidR="00131690" w:rsidRDefault="00131690">
      <w:pPr>
        <w:spacing w:after="200" w:line="276" w:lineRule="auto"/>
      </w:pPr>
    </w:p>
    <w:p w14:paraId="42C50128" w14:textId="77777777" w:rsidR="00131690" w:rsidRDefault="00000000">
      <w:pPr>
        <w:spacing w:after="120" w:line="276" w:lineRule="auto"/>
      </w:pPr>
      <w:r>
        <w:rPr>
          <w:b/>
          <w:bCs/>
          <w:i/>
          <w:iCs/>
          <w:color w:val="777777"/>
          <w:sz w:val="18"/>
          <w:szCs w:val="18"/>
        </w:rPr>
        <w:t xml:space="preserve">Disclaimer: </w:t>
      </w:r>
      <w:r>
        <w:rPr>
          <w:i/>
          <w:iCs/>
          <w:color w:val="777777"/>
          <w:sz w:val="18"/>
          <w:szCs w:val="18"/>
        </w:rPr>
        <w:t>This analysis is for informational purposes only and does not constitute investment advice or a recommendation to buy, sell, or hold any security. Past performance is not indicative of future results. Investors should conduct their own due diligence.</w:t>
      </w:r>
    </w:p>
    <w:sectPr w:rsidR="001316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ECC4B" w14:textId="77777777" w:rsidR="001F1B3F" w:rsidRDefault="001F1B3F">
      <w:r>
        <w:separator/>
      </w:r>
    </w:p>
  </w:endnote>
  <w:endnote w:type="continuationSeparator" w:id="0">
    <w:p w14:paraId="2891635F" w14:textId="77777777" w:rsidR="001F1B3F" w:rsidRDefault="001F1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75C5" w14:textId="77777777" w:rsidR="00131690"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E18C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76D1" w14:textId="77777777" w:rsidR="001F1B3F" w:rsidRDefault="001F1B3F">
      <w:r>
        <w:separator/>
      </w:r>
    </w:p>
  </w:footnote>
  <w:footnote w:type="continuationSeparator" w:id="0">
    <w:p w14:paraId="00873F1F" w14:textId="77777777" w:rsidR="001F1B3F" w:rsidRDefault="001F1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6CEE" w14:textId="77777777" w:rsidR="00131690" w:rsidRDefault="00000000">
    <w:pPr>
      <w:jc w:val="right"/>
    </w:pPr>
    <w:r>
      <w:rPr>
        <w:color w:val="999999"/>
        <w:sz w:val="16"/>
        <w:szCs w:val="16"/>
      </w:rPr>
      <w:t xml:space="preserve">Premium </w:t>
    </w:r>
    <w:proofErr w:type="gramStart"/>
    <w:r>
      <w:rPr>
        <w:color w:val="999999"/>
        <w:sz w:val="16"/>
        <w:szCs w:val="16"/>
      </w:rPr>
      <w:t>Analysis  |</w:t>
    </w:r>
    <w:proofErr w:type="gramEnd"/>
    <w:r>
      <w:rPr>
        <w:color w:val="999999"/>
        <w:sz w:val="16"/>
        <w:szCs w:val="16"/>
      </w:rPr>
      <w:t xml:space="preserve">  </w:t>
    </w:r>
    <w:proofErr w:type="gramStart"/>
    <w:r>
      <w:rPr>
        <w:color w:val="999999"/>
        <w:sz w:val="16"/>
        <w:szCs w:val="16"/>
      </w:rPr>
      <w:t>VEEV  •</w:t>
    </w:r>
    <w:proofErr w:type="gramEnd"/>
    <w:r>
      <w:rPr>
        <w:color w:val="999999"/>
        <w:sz w:val="16"/>
        <w:szCs w:val="16"/>
      </w:rPr>
      <w:t xml:space="preserve">  </w:t>
    </w:r>
    <w:proofErr w:type="gramStart"/>
    <w:r>
      <w:rPr>
        <w:color w:val="999999"/>
        <w:sz w:val="16"/>
        <w:szCs w:val="16"/>
      </w:rPr>
      <w:t>EME  •</w:t>
    </w:r>
    <w:proofErr w:type="gramEnd"/>
    <w:r>
      <w:rPr>
        <w:color w:val="999999"/>
        <w:sz w:val="16"/>
        <w:szCs w:val="16"/>
      </w:rPr>
      <w:t xml:space="preserve">  </w:t>
    </w:r>
    <w:proofErr w:type="gramStart"/>
    <w:r>
      <w:rPr>
        <w:color w:val="999999"/>
        <w:sz w:val="16"/>
        <w:szCs w:val="16"/>
      </w:rPr>
      <w:t>ISRG  |</w:t>
    </w:r>
    <w:proofErr w:type="gramEnd"/>
    <w:r>
      <w:rPr>
        <w:color w:val="999999"/>
        <w:sz w:val="16"/>
        <w:szCs w:val="16"/>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72A2F"/>
    <w:multiLevelType w:val="hybridMultilevel"/>
    <w:tmpl w:val="EFB0C108"/>
    <w:lvl w:ilvl="0" w:tplc="0A969564">
      <w:start w:val="1"/>
      <w:numFmt w:val="bullet"/>
      <w:lvlText w:val="●"/>
      <w:lvlJc w:val="left"/>
      <w:pPr>
        <w:ind w:left="720" w:hanging="360"/>
      </w:pPr>
    </w:lvl>
    <w:lvl w:ilvl="1" w:tplc="9DD0CEBE">
      <w:start w:val="1"/>
      <w:numFmt w:val="bullet"/>
      <w:lvlText w:val="○"/>
      <w:lvlJc w:val="left"/>
      <w:pPr>
        <w:ind w:left="1440" w:hanging="360"/>
      </w:pPr>
    </w:lvl>
    <w:lvl w:ilvl="2" w:tplc="CAF0FC04">
      <w:start w:val="1"/>
      <w:numFmt w:val="bullet"/>
      <w:lvlText w:val="■"/>
      <w:lvlJc w:val="left"/>
      <w:pPr>
        <w:ind w:left="2160" w:hanging="360"/>
      </w:pPr>
    </w:lvl>
    <w:lvl w:ilvl="3" w:tplc="B5865B58">
      <w:start w:val="1"/>
      <w:numFmt w:val="bullet"/>
      <w:lvlText w:val="●"/>
      <w:lvlJc w:val="left"/>
      <w:pPr>
        <w:ind w:left="2880" w:hanging="360"/>
      </w:pPr>
    </w:lvl>
    <w:lvl w:ilvl="4" w:tplc="9C4A416C">
      <w:start w:val="1"/>
      <w:numFmt w:val="bullet"/>
      <w:lvlText w:val="○"/>
      <w:lvlJc w:val="left"/>
      <w:pPr>
        <w:ind w:left="3600" w:hanging="360"/>
      </w:pPr>
    </w:lvl>
    <w:lvl w:ilvl="5" w:tplc="44725B58">
      <w:start w:val="1"/>
      <w:numFmt w:val="bullet"/>
      <w:lvlText w:val="■"/>
      <w:lvlJc w:val="left"/>
      <w:pPr>
        <w:ind w:left="4320" w:hanging="360"/>
      </w:pPr>
    </w:lvl>
    <w:lvl w:ilvl="6" w:tplc="D8C6BB88">
      <w:start w:val="1"/>
      <w:numFmt w:val="bullet"/>
      <w:lvlText w:val="●"/>
      <w:lvlJc w:val="left"/>
      <w:pPr>
        <w:ind w:left="5040" w:hanging="360"/>
      </w:pPr>
    </w:lvl>
    <w:lvl w:ilvl="7" w:tplc="DE225212">
      <w:start w:val="1"/>
      <w:numFmt w:val="bullet"/>
      <w:lvlText w:val="●"/>
      <w:lvlJc w:val="left"/>
      <w:pPr>
        <w:ind w:left="5760" w:hanging="360"/>
      </w:pPr>
    </w:lvl>
    <w:lvl w:ilvl="8" w:tplc="1206F24A">
      <w:start w:val="1"/>
      <w:numFmt w:val="bullet"/>
      <w:lvlText w:val="●"/>
      <w:lvlJc w:val="left"/>
      <w:pPr>
        <w:ind w:left="6480" w:hanging="360"/>
      </w:pPr>
    </w:lvl>
  </w:abstractNum>
  <w:num w:numId="1" w16cid:durableId="2098204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90"/>
    <w:rsid w:val="00131690"/>
    <w:rsid w:val="001F1B3F"/>
    <w:rsid w:val="008B3920"/>
    <w:rsid w:val="00D91571"/>
    <w:rsid w:val="00EE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BD31"/>
  <w15:docId w15:val="{57B78226-4588-4C69-81D7-5FBDC1B2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5090"/>
      <w:sz w:val="26"/>
      <w:szCs w:val="26"/>
    </w:rPr>
  </w:style>
  <w:style w:type="paragraph" w:styleId="Heading3">
    <w:name w:val="heading 3"/>
    <w:uiPriority w:val="9"/>
    <w:unhideWhenUsed/>
    <w:qFormat/>
    <w:pPr>
      <w:spacing w:before="200" w:after="120"/>
      <w:outlineLvl w:val="2"/>
    </w:pPr>
    <w:rPr>
      <w:b/>
      <w:bCs/>
      <w:color w:val="3A6E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23</Pages>
  <Words>8427</Words>
  <Characters>51756</Characters>
  <Application>Microsoft Office Word</Application>
  <DocSecurity>0</DocSecurity>
  <Lines>1011</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2026-03-29T21:54:00Z</dcterms:created>
  <dcterms:modified xsi:type="dcterms:W3CDTF">2026-03-30T03:44:00Z</dcterms:modified>
</cp:coreProperties>
</file>