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9B5E" w14:textId="77777777" w:rsidR="00E306F2" w:rsidRDefault="00E306F2">
      <w:pPr>
        <w:spacing w:before="3600"/>
      </w:pPr>
    </w:p>
    <w:p w14:paraId="29DE2E6E" w14:textId="77777777" w:rsidR="00E306F2" w:rsidRDefault="00000000">
      <w:pPr>
        <w:spacing w:after="200"/>
        <w:jc w:val="center"/>
      </w:pPr>
      <w:r>
        <w:rPr>
          <w:b/>
          <w:bCs/>
          <w:color w:val="1A1A1A"/>
          <w:sz w:val="48"/>
          <w:szCs w:val="48"/>
        </w:rPr>
        <w:t>The Failure Model Thesis</w:t>
      </w:r>
    </w:p>
    <w:p w14:paraId="4BA7FE2A" w14:textId="77777777" w:rsidR="00E306F2" w:rsidRDefault="00000000">
      <w:pPr>
        <w:spacing w:after="400"/>
        <w:jc w:val="center"/>
      </w:pPr>
      <w:r>
        <w:rPr>
          <w:color w:val="555555"/>
          <w:sz w:val="26"/>
          <w:szCs w:val="26"/>
        </w:rPr>
        <w:t xml:space="preserve">Why </w:t>
      </w:r>
      <w:proofErr w:type="spellStart"/>
      <w:r>
        <w:rPr>
          <w:color w:val="555555"/>
          <w:sz w:val="26"/>
          <w:szCs w:val="26"/>
        </w:rPr>
        <w:t>Anthropic’s</w:t>
      </w:r>
      <w:proofErr w:type="spellEnd"/>
      <w:r>
        <w:rPr>
          <w:color w:val="555555"/>
          <w:sz w:val="26"/>
          <w:szCs w:val="26"/>
        </w:rPr>
        <w:t xml:space="preserve"> Acquisition of Coefficient Bio Is a Bet on Decision Intelligence, Not Drug Design</w:t>
      </w:r>
    </w:p>
    <w:p w14:paraId="06CE60B0" w14:textId="77777777" w:rsidR="00E306F2" w:rsidRDefault="00000000">
      <w:pPr>
        <w:spacing w:after="100"/>
        <w:jc w:val="center"/>
      </w:pPr>
      <w:r>
        <w:rPr>
          <w:i/>
          <w:iCs/>
          <w:color w:val="666666"/>
        </w:rPr>
        <w:t>A Response to Ned Burnett’s “The AI Companies Are Coming for Drug Discovery. Anthropic Just Made It Official.”</w:t>
      </w:r>
    </w:p>
    <w:p w14:paraId="365FE1BB" w14:textId="77777777" w:rsidR="00E306F2" w:rsidRDefault="00E306F2">
      <w:pPr>
        <w:spacing w:after="80"/>
      </w:pPr>
    </w:p>
    <w:p w14:paraId="176399B4" w14:textId="77777777" w:rsidR="00E306F2" w:rsidRDefault="00000000">
      <w:pPr>
        <w:spacing w:after="40"/>
        <w:jc w:val="center"/>
      </w:pPr>
      <w:r>
        <w:rPr>
          <w:b/>
          <w:bCs/>
          <w:sz w:val="24"/>
          <w:szCs w:val="24"/>
        </w:rPr>
        <w:t>Ann Persson</w:t>
      </w:r>
    </w:p>
    <w:p w14:paraId="630C4EE7" w14:textId="77777777" w:rsidR="00E306F2" w:rsidRDefault="00000000">
      <w:pPr>
        <w:spacing w:after="40"/>
        <w:jc w:val="center"/>
      </w:pPr>
      <w:r>
        <w:rPr>
          <w:color w:val="666666"/>
        </w:rPr>
        <w:t>April 2026</w:t>
      </w:r>
    </w:p>
    <w:p w14:paraId="6A3BDCD1" w14:textId="77777777" w:rsidR="00E306F2" w:rsidRDefault="00000000">
      <w:pPr>
        <w:spacing w:after="40"/>
        <w:jc w:val="center"/>
      </w:pPr>
      <w:r>
        <w:rPr>
          <w:i/>
          <w:iCs/>
          <w:color w:val="888888"/>
          <w:sz w:val="20"/>
          <w:szCs w:val="20"/>
        </w:rPr>
        <w:t>Investment Thesis — Working Paper</w:t>
      </w:r>
    </w:p>
    <w:p w14:paraId="15932328" w14:textId="77777777" w:rsidR="00E306F2" w:rsidRDefault="00E306F2">
      <w:pPr>
        <w:sectPr w:rsidR="00E306F2">
          <w:pgSz w:w="12240" w:h="15840"/>
          <w:pgMar w:top="1440" w:right="1440" w:bottom="1440" w:left="1440" w:header="708" w:footer="708" w:gutter="0"/>
          <w:cols w:space="720"/>
          <w:docGrid w:linePitch="360"/>
        </w:sectPr>
      </w:pPr>
    </w:p>
    <w:p w14:paraId="48B87838" w14:textId="77777777" w:rsidR="00E306F2" w:rsidRDefault="00000000">
      <w:pPr>
        <w:pStyle w:val="Heading1"/>
      </w:pPr>
      <w:r>
        <w:lastRenderedPageBreak/>
        <w:t>Executive Summary</w:t>
      </w:r>
    </w:p>
    <w:p w14:paraId="67E8C925" w14:textId="77777777" w:rsidR="00E306F2" w:rsidRDefault="00000000">
      <w:pPr>
        <w:spacing w:after="200" w:line="312" w:lineRule="auto"/>
      </w:pPr>
      <w:r>
        <w:t>On April 3, 2026, Anthropic acquired Coefficient Bio, a stealth biotech startup with fewer than ten employees, for approximately $400 million in stock.</w:t>
      </w:r>
      <w:r>
        <w:rPr>
          <w:rStyle w:val="FootnoteReference"/>
        </w:rPr>
        <w:footnoteReference w:id="1"/>
      </w:r>
      <w:r>
        <w:t xml:space="preserve"> The founders—Nathan Frey and Samuel Stanton, both alumni of Prescient Design, Genentech’s AI drug discovery unit—had been operating for eight months with no product, no disclosed funding, and a LinkedIn page that read “Building for the future.”</w:t>
      </w:r>
    </w:p>
    <w:p w14:paraId="6879713F" w14:textId="77777777" w:rsidR="00E306F2" w:rsidRDefault="00000000">
      <w:pPr>
        <w:spacing w:after="200" w:line="312" w:lineRule="auto"/>
      </w:pPr>
      <w:r>
        <w:t>Ned Burnett’s analysis of the acquisition, published in MedTech Monitor on April 11, 2026, frames the strategic question as a choice among three business models: a Veeva-style platform model (subscription fees for AI-assisted R&amp;D), a royalty model (stake in drugs the models help discover), and a pharma model (Anthropic becomes a drug company).</w:t>
      </w:r>
      <w:r>
        <w:rPr>
          <w:rStyle w:val="FootnoteReference"/>
        </w:rPr>
        <w:footnoteReference w:id="2"/>
      </w:r>
      <w:r>
        <w:t xml:space="preserve"> Burnett concludes that none of the three resolves cleanly, and that the acquisition may be better understood as a research investment driven by CEO Dario Amodei’s personal conviction about AI’s potential to compress a century of biological progress into a decade.</w:t>
      </w:r>
      <w:r>
        <w:rPr>
          <w:rStyle w:val="FootnoteReference"/>
        </w:rPr>
        <w:footnoteReference w:id="3"/>
      </w:r>
    </w:p>
    <w:p w14:paraId="15FA71CE" w14:textId="77777777" w:rsidR="00E306F2" w:rsidRDefault="00000000">
      <w:pPr>
        <w:spacing w:after="200" w:line="312" w:lineRule="auto"/>
      </w:pPr>
      <w:r>
        <w:t xml:space="preserve">This paper proposes a different thesis. Burnett’s three models are not separate strategic paths but cumulative layers along a single axis of vertical integration, and all three rest on an assumption his analysis does not interrogate: that the binding constraint in drug development is molecular design. We argue the binding constraint is </w:t>
      </w:r>
      <w:r>
        <w:rPr>
          <w:i/>
          <w:iCs/>
        </w:rPr>
        <w:t>decision quality</w:t>
      </w:r>
      <w:r>
        <w:t xml:space="preserve">—specifically, the inability to reliably distinguish programs that will fail from programs that will succeed before committing them to human clinical trials. The Coefficient Bio acquisition is best understood as </w:t>
      </w:r>
      <w:proofErr w:type="spellStart"/>
      <w:r>
        <w:t>Anthropic’s</w:t>
      </w:r>
      <w:proofErr w:type="spellEnd"/>
      <w:r>
        <w:t xml:space="preserve"> investment in building a </w:t>
      </w:r>
      <w:r>
        <w:rPr>
          <w:b/>
          <w:bCs/>
        </w:rPr>
        <w:t>failure prediction model</w:t>
      </w:r>
      <w:r>
        <w:t>: an AI system trained on decades of clinical and preclinical failure data that can raise the entry bar for human trials, eliminate predictable failures before they consume capital and patient exposure, and identify repurposing opportunities in the vast graveyard of shelved pharmaceutical compounds.</w:t>
      </w:r>
    </w:p>
    <w:p w14:paraId="43EC9F3D" w14:textId="77777777" w:rsidR="00E306F2" w:rsidRDefault="00000000">
      <w:pPr>
        <w:spacing w:after="200" w:line="312" w:lineRule="auto"/>
      </w:pPr>
      <w:r>
        <w:t xml:space="preserve">This thesis has direct implications for Veeva Systems (NYSE: VEEV), which we argue becomes </w:t>
      </w:r>
      <w:r>
        <w:rPr>
          <w:i/>
          <w:iCs/>
        </w:rPr>
        <w:t>more</w:t>
      </w:r>
      <w:r>
        <w:t xml:space="preserve"> valuable—not less—in an AI-accelerated pharmaceutical landscape, serving as the ethical, compliance, and governance layer through which failure intelligence is deployed into regulated workflows.</w:t>
      </w:r>
    </w:p>
    <w:p w14:paraId="67A5B1DD" w14:textId="77777777" w:rsidR="00E306F2" w:rsidRDefault="00000000">
      <w:r>
        <w:br w:type="page"/>
      </w:r>
    </w:p>
    <w:p w14:paraId="5AA548CB" w14:textId="77777777" w:rsidR="00E306F2" w:rsidRDefault="00000000">
      <w:pPr>
        <w:pStyle w:val="Heading1"/>
      </w:pPr>
      <w:r>
        <w:lastRenderedPageBreak/>
        <w:t xml:space="preserve">I. Why Burnett’s Three Models Are a Spectrum, </w:t>
      </w:r>
      <w:proofErr w:type="gramStart"/>
      <w:r>
        <w:t>Not</w:t>
      </w:r>
      <w:proofErr w:type="gramEnd"/>
      <w:r>
        <w:t xml:space="preserve"> a Menu</w:t>
      </w:r>
    </w:p>
    <w:p w14:paraId="11E687F7" w14:textId="77777777" w:rsidR="00E306F2" w:rsidRDefault="00000000">
      <w:pPr>
        <w:spacing w:after="200" w:line="312" w:lineRule="auto"/>
      </w:pPr>
      <w:r>
        <w:t xml:space="preserve">Burnett presents three strategic </w:t>
      </w:r>
      <w:proofErr w:type="gramStart"/>
      <w:r>
        <w:t>options</w:t>
      </w:r>
      <w:proofErr w:type="gramEnd"/>
      <w:r>
        <w:t xml:space="preserve"> as if Anthropic must choose among them. In practice, they represent three levels of vertical integration along a single axis: how much of the drug development </w:t>
      </w:r>
      <w:proofErr w:type="gramStart"/>
      <w:r>
        <w:t>value chain</w:t>
      </w:r>
      <w:proofErr w:type="gramEnd"/>
      <w:r>
        <w:t xml:space="preserve"> Anthropic owns.</w:t>
      </w:r>
    </w:p>
    <w:p w14:paraId="53FAB7A4" w14:textId="77777777" w:rsidR="00E306F2" w:rsidRDefault="00000000">
      <w:pPr>
        <w:spacing w:after="200" w:line="312" w:lineRule="auto"/>
      </w:pPr>
      <w:r>
        <w:rPr>
          <w:b/>
          <w:bCs/>
        </w:rPr>
        <w:t xml:space="preserve">The Veeva model </w:t>
      </w:r>
      <w:r>
        <w:t>(intelligence-layer platform) requires nothing Anthropic does not already have. Claude for Healthcare launched at the JPM Healthcare Conference in January 2026 with Claude Opus 4.5, a model refined for medical reasoning with an “extended thinking” mode designed to reduce hallucinations in high-stakes clinical contexts.</w:t>
      </w:r>
      <w:r>
        <w:rPr>
          <w:rStyle w:val="FootnoteReference"/>
        </w:rPr>
        <w:footnoteReference w:id="4"/>
      </w:r>
      <w:r>
        <w:t xml:space="preserve"> Veeva AI Agents—running on Claude via AWS Bedrock—are already rolling out across commercial, safety, quality, and regulatory applications through 2026.</w:t>
      </w:r>
      <w:r>
        <w:rPr>
          <w:rStyle w:val="FootnoteReference"/>
        </w:rPr>
        <w:footnoteReference w:id="5"/>
      </w:r>
      <w:r>
        <w:t xml:space="preserve"> This model is the current state of play, not a future bet.</w:t>
      </w:r>
    </w:p>
    <w:p w14:paraId="5463EF29" w14:textId="77777777" w:rsidR="00E306F2" w:rsidRDefault="00000000">
      <w:pPr>
        <w:spacing w:after="200" w:line="312" w:lineRule="auto"/>
      </w:pPr>
      <w:r>
        <w:rPr>
          <w:b/>
          <w:bCs/>
        </w:rPr>
        <w:t xml:space="preserve">The royalty model </w:t>
      </w:r>
      <w:r>
        <w:t xml:space="preserve">requires the platform model first: you cannot credibly negotiate royalty economics until you have demonstrated, through pharma partnerships, that your tools contributed intellectual property. </w:t>
      </w:r>
      <w:r>
        <w:rPr>
          <w:b/>
          <w:bCs/>
        </w:rPr>
        <w:t xml:space="preserve">The pharma model </w:t>
      </w:r>
      <w:r>
        <w:t>requires the royalty model first: the operational capabilities needed to run a drug company—clinical operations, regulatory affairs, manufacturing, commercial organization—can only be built through co-development partnerships that begin at the royalty layer.</w:t>
      </w:r>
    </w:p>
    <w:p w14:paraId="18DAD6E8" w14:textId="77777777" w:rsidR="00E306F2" w:rsidRDefault="00000000">
      <w:pPr>
        <w:spacing w:after="200" w:line="312" w:lineRule="auto"/>
      </w:pPr>
      <w:r>
        <w:t>Isomorphic Labs, Google DeepMind’s drug spinoff, demonstrates this. It sells research collaborations (platform model), takes milestone-and-royalty deals with Eli Lilly and Novartis (royalty model), and is preparing to dose its first cancer patients in proprietary programs (pharma model). These are not a choice Alphabet made; they are a progression Alphabet is walking through. The three models are cumulative layers, not mutually exclusive paths.</w:t>
      </w:r>
    </w:p>
    <w:p w14:paraId="1E73420C" w14:textId="77777777" w:rsidR="00E306F2" w:rsidRDefault="00000000">
      <w:pPr>
        <w:spacing w:after="200" w:line="312" w:lineRule="auto"/>
      </w:pPr>
      <w:r>
        <w:t>Burnett’s conclusion</w:t>
      </w:r>
      <w:proofErr w:type="gramStart"/>
      <w:r>
        <w:t>—“</w:t>
      </w:r>
      <w:proofErr w:type="gramEnd"/>
      <w:r>
        <w:t xml:space="preserve">none of these resolves cleanly”—follows logically if the models are alternatives. If they are layers, the conclusion inverts: </w:t>
      </w:r>
      <w:proofErr w:type="gramStart"/>
      <w:r>
        <w:t>of course</w:t>
      </w:r>
      <w:proofErr w:type="gramEnd"/>
      <w:r>
        <w:t xml:space="preserve"> no single layer is sufficient. The question is sequencing, not selection.</w:t>
      </w:r>
    </w:p>
    <w:p w14:paraId="46B98FF0" w14:textId="77777777" w:rsidR="00E306F2" w:rsidRDefault="00000000">
      <w:pPr>
        <w:pStyle w:val="Heading1"/>
      </w:pPr>
      <w:r>
        <w:t>II. The Binding Constraint Is Not Molecular Design</w:t>
      </w:r>
    </w:p>
    <w:p w14:paraId="57D3D243" w14:textId="77777777" w:rsidR="00E306F2" w:rsidRDefault="00000000">
      <w:pPr>
        <w:spacing w:after="200" w:line="312" w:lineRule="auto"/>
      </w:pPr>
      <w:r>
        <w:t xml:space="preserve">The implicit assumption shared by every major AI drug discovery company—Isomorphic, </w:t>
      </w:r>
      <w:proofErr w:type="spellStart"/>
      <w:r>
        <w:t>Insilico</w:t>
      </w:r>
      <w:proofErr w:type="spellEnd"/>
      <w:r>
        <w:t>, Recursion-</w:t>
      </w:r>
      <w:proofErr w:type="spellStart"/>
      <w:r>
        <w:t>Exscientia</w:t>
      </w:r>
      <w:proofErr w:type="spellEnd"/>
      <w:r>
        <w:t xml:space="preserve">, Schrödinger, Xaira—is that </w:t>
      </w:r>
      <w:r>
        <w:rPr>
          <w:i/>
          <w:iCs/>
        </w:rPr>
        <w:t>better molecules are the unlock</w:t>
      </w:r>
      <w:r>
        <w:t>. If AI can design more potent, more selective, more drug-like compounds, then the clinical success rate will improve. This thesis has consumed tens of billions of dollars in capital. Its track record is sobering.</w:t>
      </w:r>
    </w:p>
    <w:p w14:paraId="743639A4" w14:textId="77777777" w:rsidR="00E306F2" w:rsidRDefault="00000000">
      <w:pPr>
        <w:spacing w:after="200" w:line="312" w:lineRule="auto"/>
      </w:pPr>
      <w:r>
        <w:lastRenderedPageBreak/>
        <w:t>As of early 2026, no AI-discovered drug has received FDA approval.</w:t>
      </w:r>
      <w:r>
        <w:rPr>
          <w:rStyle w:val="FootnoteReference"/>
        </w:rPr>
        <w:footnoteReference w:id="6"/>
      </w:r>
      <w:r>
        <w:t xml:space="preserve"> The field’s landmark result is a single Phase 2a trial: </w:t>
      </w:r>
      <w:proofErr w:type="spellStart"/>
      <w:r>
        <w:t>Insilico</w:t>
      </w:r>
      <w:proofErr w:type="spellEnd"/>
      <w:r>
        <w:t xml:space="preserve"> Medicine’s </w:t>
      </w:r>
      <w:proofErr w:type="spellStart"/>
      <w:r>
        <w:t>rentosertib</w:t>
      </w:r>
      <w:proofErr w:type="spellEnd"/>
      <w:r>
        <w:t xml:space="preserve">, a TNIK inhibitor for idiopathic pulmonary fibrosis, which showed dose-dependent improvement in lung function in 71 patients in China, published in Nature Medicine in June 2025. Recursion’s lead AI-discovered candidate, REC-994, was discontinued in May 2025 after long-term efficacy data failed to confirm earlier trends. </w:t>
      </w:r>
      <w:proofErr w:type="spellStart"/>
      <w:proofErr w:type="gramStart"/>
      <w:r>
        <w:t>Generate:Biomedicines</w:t>
      </w:r>
      <w:proofErr w:type="spellEnd"/>
      <w:proofErr w:type="gramEnd"/>
      <w:r>
        <w:t xml:space="preserve"> dosed its first Phase 3 patient in January 2026 with GB-0895, making it the first AI-derived antibody to reach that milestone. Xaira Therapeutics launched with $1 billion and the backing of David Baker but has disclosed nothing about its pipeline.</w:t>
      </w:r>
    </w:p>
    <w:p w14:paraId="5F4E3898" w14:textId="77777777" w:rsidR="00E306F2" w:rsidRDefault="00000000">
      <w:pPr>
        <w:spacing w:after="200" w:line="312" w:lineRule="auto"/>
      </w:pPr>
      <w:r>
        <w:t>The pattern across these efforts is consistent: AI is producing interesting molecules that enter the same clinical trial process as traditionally discovered compounds and fail at roughly the same rates. As Burnett observes, “What is genuinely new is the ability to design molecules from scratch rather than search through existing chemical space. Whether that difference is incremental or transformative is the central unresolved question in the field.”</w:t>
      </w:r>
      <w:r>
        <w:rPr>
          <w:rStyle w:val="FootnoteReference"/>
        </w:rPr>
        <w:footnoteReference w:id="7"/>
      </w:r>
    </w:p>
    <w:p w14:paraId="56DE0E56" w14:textId="77777777" w:rsidR="00E306F2" w:rsidRDefault="00000000">
      <w:pPr>
        <w:spacing w:after="200" w:line="312" w:lineRule="auto"/>
      </w:pPr>
      <w:r>
        <w:t>We argue this is the wrong question. The clinical failure rate—approximately 90% cumulative from Phase 1 to approval</w:t>
      </w:r>
      <w:r>
        <w:rPr>
          <w:rStyle w:val="FootnoteReference"/>
        </w:rPr>
        <w:footnoteReference w:id="8"/>
      </w:r>
      <w:r>
        <w:t xml:space="preserve">—has remained essentially unchanged for three decades despite successive waves of computational improvement. Throwing better molecules at the same decision process produces more shots on goal, not higher hit rates. The binding constraint is not the molecule. It is the </w:t>
      </w:r>
      <w:r>
        <w:rPr>
          <w:i/>
          <w:iCs/>
        </w:rPr>
        <w:t>decision to advance it</w:t>
      </w:r>
      <w:r>
        <w:t>.</w:t>
      </w:r>
    </w:p>
    <w:p w14:paraId="1FD8E165" w14:textId="77777777" w:rsidR="00E306F2" w:rsidRDefault="00000000">
      <w:r>
        <w:br w:type="page"/>
      </w:r>
    </w:p>
    <w:p w14:paraId="5E4BA599" w14:textId="77777777" w:rsidR="00E306F2" w:rsidRDefault="00000000">
      <w:pPr>
        <w:pStyle w:val="Heading1"/>
      </w:pPr>
      <w:r>
        <w:lastRenderedPageBreak/>
        <w:t>III. The Failure Model Thesis</w:t>
      </w:r>
    </w:p>
    <w:p w14:paraId="171CCA7B" w14:textId="77777777" w:rsidR="00E306F2" w:rsidRDefault="00000000">
      <w:pPr>
        <w:spacing w:after="200" w:line="312" w:lineRule="auto"/>
      </w:pPr>
      <w:r>
        <w:t>Consider what happens when a drug fails in Phase 1 or Phase 2. The failure generates a detailed data package: preclinical toxicology, pharmacokinetics, target engagement, dose-response, adverse event profiles, and often a mechanistic post-mortem explaining the root cause. That data enters the company’s internal files, fragments of it appear in regulatory filings and published literature, and it is never systematically connected to the failures that preceded it or the ones that will follow.</w:t>
      </w:r>
    </w:p>
    <w:p w14:paraId="469099BD" w14:textId="77777777" w:rsidR="00E306F2" w:rsidRDefault="00000000">
      <w:pPr>
        <w:spacing w:after="200" w:line="312" w:lineRule="auto"/>
      </w:pPr>
      <w:r>
        <w:t>The pharmaceutical industry has been generating this failure data for four decades. The corpus is immense:</w:t>
      </w:r>
    </w:p>
    <w:p w14:paraId="3466C552" w14:textId="77777777" w:rsidR="00E306F2" w:rsidRDefault="00000000">
      <w:pPr>
        <w:pStyle w:val="ListParagraph"/>
        <w:numPr>
          <w:ilvl w:val="0"/>
          <w:numId w:val="2"/>
        </w:numPr>
        <w:spacing w:after="120" w:line="312" w:lineRule="auto"/>
      </w:pPr>
      <w:r>
        <w:t>ClinicalTrials.gov: mandated results posting for applicable clinical trials under FDAAA 801, including negative results.</w:t>
      </w:r>
      <w:r>
        <w:rPr>
          <w:rStyle w:val="FootnoteReference"/>
        </w:rPr>
        <w:footnoteReference w:id="9"/>
      </w:r>
    </w:p>
    <w:p w14:paraId="65ACB693" w14:textId="77777777" w:rsidR="00E306F2" w:rsidRDefault="00000000">
      <w:pPr>
        <w:pStyle w:val="ListParagraph"/>
        <w:numPr>
          <w:ilvl w:val="0"/>
          <w:numId w:val="2"/>
        </w:numPr>
        <w:spacing w:after="120" w:line="312" w:lineRule="auto"/>
      </w:pPr>
      <w:r>
        <w:t>FAERS: more than 25 million adverse event reports linking drugs to clinical outcomes, publicly accessible.</w:t>
      </w:r>
      <w:r>
        <w:rPr>
          <w:rStyle w:val="FootnoteReference"/>
        </w:rPr>
        <w:footnoteReference w:id="10"/>
      </w:r>
    </w:p>
    <w:p w14:paraId="2DE512CD" w14:textId="77777777" w:rsidR="00E306F2" w:rsidRDefault="00000000">
      <w:pPr>
        <w:pStyle w:val="ListParagraph"/>
        <w:numPr>
          <w:ilvl w:val="0"/>
          <w:numId w:val="2"/>
        </w:numPr>
        <w:spacing w:after="120" w:line="312" w:lineRule="auto"/>
      </w:pPr>
      <w:r>
        <w:t>FDA review documents: every NDA, BLA, and IND generates a detailed medical, statistical, and pharmacology review that FDA publishes—including rejections.</w:t>
      </w:r>
    </w:p>
    <w:p w14:paraId="480EFD71" w14:textId="77777777" w:rsidR="00E306F2" w:rsidRDefault="00000000">
      <w:pPr>
        <w:pStyle w:val="ListParagraph"/>
        <w:numPr>
          <w:ilvl w:val="0"/>
          <w:numId w:val="2"/>
        </w:numPr>
        <w:spacing w:after="120" w:line="312" w:lineRule="auto"/>
      </w:pPr>
      <w:r>
        <w:t xml:space="preserve">Published </w:t>
      </w:r>
      <w:proofErr w:type="gramStart"/>
      <w:r>
        <w:t>literature:</w:t>
      </w:r>
      <w:proofErr w:type="gramEnd"/>
      <w:r>
        <w:t xml:space="preserve"> increasingly includes negative results due to journal mandates and preprint norms.</w:t>
      </w:r>
    </w:p>
    <w:p w14:paraId="021DB005" w14:textId="77777777" w:rsidR="00E306F2" w:rsidRDefault="00000000">
      <w:pPr>
        <w:pStyle w:val="ListParagraph"/>
        <w:numPr>
          <w:ilvl w:val="0"/>
          <w:numId w:val="2"/>
        </w:numPr>
        <w:spacing w:after="120" w:line="312" w:lineRule="auto"/>
      </w:pPr>
      <w:r>
        <w:t>Drug withdrawal and safety communication records: Dear Healthcare Provider letters, REMS modifications, boxed warning changes.</w:t>
      </w:r>
    </w:p>
    <w:p w14:paraId="47F66CBC" w14:textId="77777777" w:rsidR="00E306F2" w:rsidRDefault="00000000">
      <w:pPr>
        <w:spacing w:after="200" w:line="312" w:lineRule="auto"/>
      </w:pPr>
      <w:r>
        <w:t>No one has trained a biology-native foundation model on the complete set, linking mechanisms to outcomes to patient profiles to time-to-failure patterns, in a way that generates calibrated predictions for new programs.</w:t>
      </w:r>
    </w:p>
    <w:p w14:paraId="53B635A0" w14:textId="77777777" w:rsidR="00E306F2" w:rsidRDefault="00000000">
      <w:pPr>
        <w:spacing w:after="200" w:line="312" w:lineRule="auto"/>
      </w:pPr>
      <w:r>
        <w:t xml:space="preserve">That is the opportunity. A </w:t>
      </w:r>
      <w:r>
        <w:rPr>
          <w:b/>
          <w:bCs/>
        </w:rPr>
        <w:t>failure prediction model</w:t>
      </w:r>
      <w:r>
        <w:t xml:space="preserve"> would function as an </w:t>
      </w:r>
      <w:proofErr w:type="gramStart"/>
      <w:r>
        <w:t>in silico</w:t>
      </w:r>
      <w:proofErr w:type="gramEnd"/>
      <w:r>
        <w:t xml:space="preserve"> Phase 0 gate: before a drug enters Phase 1, its preclinical package is evaluated against the full historical precedent base. The model asks: </w:t>
      </w:r>
      <w:proofErr w:type="gramStart"/>
      <w:r>
        <w:t>does</w:t>
      </w:r>
      <w:proofErr w:type="gramEnd"/>
      <w:r>
        <w:t xml:space="preserve"> this drug’s mechanism, PK profile, target biology, and safety data resemble any historical pattern that ended in failure? If so, what was the failure mode, and how confident is the prediction?</w:t>
      </w:r>
    </w:p>
    <w:p w14:paraId="103416FE" w14:textId="77777777" w:rsidR="00E306F2" w:rsidRDefault="00000000">
      <w:pPr>
        <w:pStyle w:val="Heading2"/>
      </w:pPr>
      <w:r>
        <w:t>The Vioxx Precedent</w:t>
      </w:r>
    </w:p>
    <w:p w14:paraId="3962B5E9" w14:textId="77777777" w:rsidR="00E306F2" w:rsidRDefault="00000000">
      <w:pPr>
        <w:spacing w:after="200" w:line="312" w:lineRule="auto"/>
      </w:pPr>
      <w:r>
        <w:t xml:space="preserve">The case for this model is best illustrated by the failures that should have been caught. </w:t>
      </w:r>
      <w:proofErr w:type="spellStart"/>
      <w:r>
        <w:t>Rofecoxib</w:t>
      </w:r>
      <w:proofErr w:type="spellEnd"/>
      <w:r>
        <w:t xml:space="preserve"> (Vioxx) was a selective COX-2 inhibitor approved in 1999 and withdrawn in 2004 </w:t>
      </w:r>
      <w:r>
        <w:lastRenderedPageBreak/>
        <w:t xml:space="preserve">after the </w:t>
      </w:r>
      <w:proofErr w:type="spellStart"/>
      <w:r>
        <w:t>APPROVe</w:t>
      </w:r>
      <w:proofErr w:type="spellEnd"/>
      <w:r>
        <w:t xml:space="preserve"> trial demonstrated increased cardiovascular risk—heart attacks and strokes—with long-term use.</w:t>
      </w:r>
      <w:r>
        <w:rPr>
          <w:rStyle w:val="FootnoteReference"/>
        </w:rPr>
        <w:footnoteReference w:id="11"/>
      </w:r>
      <w:r>
        <w:t xml:space="preserve"> The mechanism was mechanistically predictable: selective COX-2 inhibition suppresses prostacyclin (vasodilatory, anti-thrombotic) without affecting COX-1-derived thromboxane A2 (pro-thrombotic), creating a prothrombotic imbalance. This was not unique to Vioxx—celecoxib showed attenuated signals, valdecoxib was also withdrawn, and the entire COX-2 class received boxed warnings.</w:t>
      </w:r>
    </w:p>
    <w:p w14:paraId="1AE988DC" w14:textId="77777777" w:rsidR="00E306F2" w:rsidRDefault="00000000">
      <w:pPr>
        <w:spacing w:after="200" w:line="312" w:lineRule="auto"/>
      </w:pPr>
      <w:r>
        <w:t xml:space="preserve">A model trained </w:t>
      </w:r>
      <w:proofErr w:type="gramStart"/>
      <w:r>
        <w:t>on</w:t>
      </w:r>
      <w:proofErr w:type="gramEnd"/>
      <w:r>
        <w:t xml:space="preserve"> this pattern would </w:t>
      </w:r>
      <w:proofErr w:type="gramStart"/>
      <w:r>
        <w:t>learn:</w:t>
      </w:r>
      <w:proofErr w:type="gramEnd"/>
      <w:r>
        <w:t xml:space="preserve"> </w:t>
      </w:r>
      <w:r>
        <w:rPr>
          <w:i/>
          <w:iCs/>
        </w:rPr>
        <w:t>selective COX-2 inhibition → prothrombotic imbalance → cardiovascular risk</w:t>
      </w:r>
      <w:r>
        <w:t>. It would learn it across the full class, with different magnitudes, patient populations, and timelines to signal emergence. And it would flag any future program with a similar mechanistic signature—not because it memorized Vioxx, but because it learned the underlying biological relationship between prostacyclin suppression and thrombotic events.</w:t>
      </w:r>
    </w:p>
    <w:p w14:paraId="0C3411E7" w14:textId="77777777" w:rsidR="00E306F2" w:rsidRDefault="00000000">
      <w:pPr>
        <w:spacing w:after="200" w:line="312" w:lineRule="auto"/>
      </w:pPr>
      <w:r>
        <w:t xml:space="preserve">Multiply this by every major drug failure—rosiglitazone (PPAR-gamma → cardiovascular risk), fen-phen (serotonergic → cardiac </w:t>
      </w:r>
      <w:proofErr w:type="spellStart"/>
      <w:r>
        <w:t>valvulopathy</w:t>
      </w:r>
      <w:proofErr w:type="spellEnd"/>
      <w:r>
        <w:t xml:space="preserve">), TGN1412 (CD28 </w:t>
      </w:r>
      <w:proofErr w:type="spellStart"/>
      <w:r>
        <w:t>superagonist</w:t>
      </w:r>
      <w:proofErr w:type="spellEnd"/>
      <w:r>
        <w:t xml:space="preserve"> → cytokine storm), the checkpoint inhibitor immune-related adverse event patterns that are now well-characterized but were initially surprising—and the failure model accumulates a mechanistic library of what kills drugs. Every labeled negative example improves the model’s ability to catch the next one.</w:t>
      </w:r>
    </w:p>
    <w:p w14:paraId="449F8450" w14:textId="77777777" w:rsidR="00E306F2" w:rsidRDefault="00000000">
      <w:r>
        <w:br w:type="page"/>
      </w:r>
    </w:p>
    <w:p w14:paraId="36A3D026" w14:textId="77777777" w:rsidR="00E306F2" w:rsidRDefault="00000000">
      <w:pPr>
        <w:pStyle w:val="Heading1"/>
      </w:pPr>
      <w:r>
        <w:lastRenderedPageBreak/>
        <w:t>IV. The Synchrony Architecture</w:t>
      </w:r>
    </w:p>
    <w:p w14:paraId="45750889" w14:textId="77777777" w:rsidR="00E306F2" w:rsidRDefault="00000000">
      <w:pPr>
        <w:spacing w:after="200" w:line="312" w:lineRule="auto"/>
      </w:pPr>
      <w:r>
        <w:t>The failure model does not operate in isolation. It functions as one component of a two-model architecture:</w:t>
      </w:r>
    </w:p>
    <w:p w14:paraId="35D55B98" w14:textId="77777777" w:rsidR="00E306F2" w:rsidRDefault="00000000">
      <w:pPr>
        <w:spacing w:after="200" w:line="312" w:lineRule="auto"/>
      </w:pPr>
      <w:r>
        <w:rPr>
          <w:b/>
          <w:bCs/>
        </w:rPr>
        <w:t xml:space="preserve">Model 1: Molecular design. </w:t>
      </w:r>
      <w:r>
        <w:t xml:space="preserve">AI systems—whether from Isomorphic, Schrödinger, Recursion, or in-house pharma teams—generate candidate molecules. This is the current focus of the AI drug discovery field and the layer where </w:t>
      </w:r>
      <w:proofErr w:type="spellStart"/>
      <w:r>
        <w:t>Anthropic’s</w:t>
      </w:r>
      <w:proofErr w:type="spellEnd"/>
      <w:r>
        <w:t xml:space="preserve"> competitors are concentrated.</w:t>
      </w:r>
    </w:p>
    <w:p w14:paraId="5527984E" w14:textId="77777777" w:rsidR="00E306F2" w:rsidRDefault="00000000">
      <w:pPr>
        <w:spacing w:after="200" w:line="312" w:lineRule="auto"/>
      </w:pPr>
      <w:r>
        <w:rPr>
          <w:b/>
          <w:bCs/>
        </w:rPr>
        <w:t xml:space="preserve">Model 2: Failure prediction. </w:t>
      </w:r>
      <w:r>
        <w:t>The Anthropic biology model, built by the Coefficient Bio team, evaluates each candidate against the historical failure corpus. Candidates that match known failure patterns are filtered before they consume clinical trial resources.</w:t>
      </w:r>
    </w:p>
    <w:p w14:paraId="6B0ACA1D" w14:textId="77777777" w:rsidR="00E306F2" w:rsidRDefault="00000000">
      <w:pPr>
        <w:spacing w:after="200" w:line="312" w:lineRule="auto"/>
      </w:pPr>
      <w:r>
        <w:t xml:space="preserve">Of 100 AI-designed molecules, perhaps 10–20 survive the failure filter and enter Phase 1. The economics shift: the same clinical trial </w:t>
      </w:r>
      <w:proofErr w:type="gramStart"/>
      <w:r>
        <w:t>spend</w:t>
      </w:r>
      <w:proofErr w:type="gramEnd"/>
      <w:r>
        <w:t xml:space="preserve"> now funds programs that have been pre-screened against four decades of failure precedent. The Phase 1 hit rate improves not because Phase 1 got better, but because the drugs entering it are better selected.</w:t>
      </w:r>
    </w:p>
    <w:p w14:paraId="17F8BC50" w14:textId="77777777" w:rsidR="00E306F2" w:rsidRDefault="00000000">
      <w:pPr>
        <w:spacing w:after="200" w:line="312" w:lineRule="auto"/>
      </w:pPr>
      <w:r>
        <w:t>This architecture also creates a virtuous loop: design, filter, redesign, re-filter. Each iteration narrows toward candidates the failure model cannot find a historical precedent for killing—which, by definition, are the most novel and most promising programs to advance.</w:t>
      </w:r>
    </w:p>
    <w:p w14:paraId="3C5D139E" w14:textId="77777777" w:rsidR="00E306F2" w:rsidRDefault="00000000">
      <w:pPr>
        <w:pStyle w:val="Heading2"/>
      </w:pPr>
      <w:r>
        <w:t>The Ethics of Phase 1 Waste</w:t>
      </w:r>
    </w:p>
    <w:p w14:paraId="59C663F9" w14:textId="77777777" w:rsidR="00E306F2" w:rsidRDefault="00000000">
      <w:pPr>
        <w:spacing w:after="200" w:line="312" w:lineRule="auto"/>
      </w:pPr>
      <w:r>
        <w:t>Approximately 50% of drugs fail in Phase 1 and 70% of survivors fail in Phase 2. Combined, roughly 85 of every 100 drugs that enter human trials never reach Phase 3.</w:t>
      </w:r>
      <w:r>
        <w:rPr>
          <w:rStyle w:val="FootnoteReference"/>
        </w:rPr>
        <w:footnoteReference w:id="12"/>
      </w:r>
      <w:r>
        <w:t xml:space="preserve"> Each failure has consumed $5–30 million in trial costs, years of team capacity, CRO slots, investigator sites, and—most importantly—exposure of real human volunteers and patients to molecules that were never going to work.</w:t>
      </w:r>
    </w:p>
    <w:p w14:paraId="2AF61D8D" w14:textId="77777777" w:rsidR="00E306F2" w:rsidRDefault="00000000">
      <w:pPr>
        <w:spacing w:after="200" w:line="312" w:lineRule="auto"/>
      </w:pPr>
      <w:r>
        <w:t xml:space="preserve">The conventional ethics argument in AI drug development runs: </w:t>
      </w:r>
      <w:r>
        <w:rPr>
          <w:i/>
          <w:iCs/>
        </w:rPr>
        <w:t>AI models cannot be trusted with drug development; humans must remain in the loop.</w:t>
      </w:r>
      <w:r>
        <w:t xml:space="preserve"> We propose the </w:t>
      </w:r>
      <w:proofErr w:type="gramStart"/>
      <w:r>
        <w:t>inverse</w:t>
      </w:r>
      <w:proofErr w:type="gramEnd"/>
      <w:r>
        <w:t xml:space="preserve"> is equally compelling: </w:t>
      </w:r>
      <w:r>
        <w:rPr>
          <w:i/>
          <w:iCs/>
        </w:rPr>
        <w:t xml:space="preserve">if a computational model could have predicted a drug would fail, and we </w:t>
      </w:r>
      <w:proofErr w:type="gramStart"/>
      <w:r>
        <w:rPr>
          <w:i/>
          <w:iCs/>
        </w:rPr>
        <w:t>dosed</w:t>
      </w:r>
      <w:proofErr w:type="gramEnd"/>
      <w:r>
        <w:rPr>
          <w:i/>
          <w:iCs/>
        </w:rPr>
        <w:t xml:space="preserve"> patients anyway, that is an ethical cost we have been normalizing because the alternative did not exist.</w:t>
      </w:r>
      <w:r>
        <w:t xml:space="preserve"> The FDA Modernization Act 2.0, signed in December 2022, explicitly authorizes computational alternatives to animal testing and signals the regulatory direction of travel.</w:t>
      </w:r>
      <w:r>
        <w:rPr>
          <w:rStyle w:val="FootnoteReference"/>
        </w:rPr>
        <w:footnoteReference w:id="13"/>
      </w:r>
      <w:r>
        <w:t xml:space="preserve"> </w:t>
      </w:r>
      <w:r>
        <w:lastRenderedPageBreak/>
        <w:t xml:space="preserve">EMA-qualified methodologies like </w:t>
      </w:r>
      <w:proofErr w:type="spellStart"/>
      <w:r>
        <w:t>Unlearn.ai’s</w:t>
      </w:r>
      <w:proofErr w:type="spellEnd"/>
      <w:r>
        <w:t xml:space="preserve"> PROCOVA already achieve 10–30% sample size reductions in clinical trials using digital twin approaches.</w:t>
      </w:r>
      <w:r>
        <w:rPr>
          <w:rStyle w:val="FootnoteReference"/>
        </w:rPr>
        <w:footnoteReference w:id="14"/>
      </w:r>
    </w:p>
    <w:p w14:paraId="3ED878BF" w14:textId="77777777" w:rsidR="00E306F2" w:rsidRDefault="00000000">
      <w:pPr>
        <w:spacing w:after="200" w:line="312" w:lineRule="auto"/>
      </w:pPr>
      <w:r>
        <w:t xml:space="preserve">Phase 1 should not be eliminated. First-in-human safety for novel mechanisms, target engagement verification, and genuine unknown unknowns require real human data. But the </w:t>
      </w:r>
      <w:r>
        <w:rPr>
          <w:i/>
          <w:iCs/>
        </w:rPr>
        <w:t>volume</w:t>
      </w:r>
      <w:r>
        <w:t xml:space="preserve"> of drugs entering Phase 1 that fail for predictable reasons—bad PK, foreseeable tox, wrong target engagement, disease-irrelevant mechanisms—can be dramatically reduced. Even a 30% reduction in combined Phase 1/2 failure would roughly double the number of programs reaching Phase 3 per dollar spent.</w:t>
      </w:r>
    </w:p>
    <w:p w14:paraId="119D1F04" w14:textId="77777777" w:rsidR="00E306F2" w:rsidRDefault="00000000">
      <w:r>
        <w:br w:type="page"/>
      </w:r>
    </w:p>
    <w:p w14:paraId="53BB97F2" w14:textId="77777777" w:rsidR="00E306F2" w:rsidRDefault="00000000">
      <w:pPr>
        <w:pStyle w:val="Heading1"/>
      </w:pPr>
      <w:r>
        <w:lastRenderedPageBreak/>
        <w:t>V. The Repurposing Flywheel</w:t>
      </w:r>
    </w:p>
    <w:p w14:paraId="5EC1014B" w14:textId="77777777" w:rsidR="00E306F2" w:rsidRDefault="00000000">
      <w:pPr>
        <w:spacing w:after="200" w:line="312" w:lineRule="auto"/>
      </w:pPr>
      <w:r>
        <w:t>The failure prediction model has a second application that Burnett’s framework does not consider: drug repurposing at industrial scale.</w:t>
      </w:r>
    </w:p>
    <w:p w14:paraId="2D5B870B" w14:textId="77777777" w:rsidR="00E306F2" w:rsidRDefault="00000000">
      <w:pPr>
        <w:spacing w:after="200" w:line="312" w:lineRule="auto"/>
      </w:pPr>
      <w:r>
        <w:t xml:space="preserve">The pharmaceutical industry is sitting on hundreds of thousands of shelved </w:t>
      </w:r>
      <w:proofErr w:type="gramStart"/>
      <w:r>
        <w:t>compounds—</w:t>
      </w:r>
      <w:proofErr w:type="gramEnd"/>
      <w:r>
        <w:t>molecules that progressed through some level of preclinical or clinical development, generated real pharmacological data, and were shelved because they failed for their intended indication. Each shelved compound has a known safety profile, known PK/PD properties, a characterized mechanism of action, and often biological activity data that was irrelevant to the original indication but might be relevant to another.</w:t>
      </w:r>
    </w:p>
    <w:p w14:paraId="2B5880F2" w14:textId="77777777" w:rsidR="00E306F2" w:rsidRDefault="00000000">
      <w:pPr>
        <w:spacing w:after="200" w:line="312" w:lineRule="auto"/>
      </w:pPr>
      <w:r>
        <w:t xml:space="preserve">The history of drug </w:t>
      </w:r>
      <w:proofErr w:type="gramStart"/>
      <w:r>
        <w:t>repurposing</w:t>
      </w:r>
      <w:proofErr w:type="gramEnd"/>
      <w:r>
        <w:t xml:space="preserve"> is a history of accidental discovery. Sildenafil was developed for angina and became Viagra when patients reported unexpected erectile effects. Thalidomide—withdrawn as a sedative after causing birth defects—was repurposed as a treatment for multiple myeloma when its immunomodulatory effects were characterized. Metformin, a diabetes drug, is now under investigation for longevity, oncology, and PCOS. The GLP-1 agonists developed for diabetes became the most important obesity drugs in a generation. In every case, the </w:t>
      </w:r>
      <w:proofErr w:type="gramStart"/>
      <w:r>
        <w:t>repurposing</w:t>
      </w:r>
      <w:proofErr w:type="gramEnd"/>
      <w:r>
        <w:t xml:space="preserve"> opportunity was identified by serendipity or individual insight, not systematic search.</w:t>
      </w:r>
    </w:p>
    <w:p w14:paraId="7D57967B" w14:textId="77777777" w:rsidR="00E306F2" w:rsidRDefault="00000000">
      <w:pPr>
        <w:spacing w:after="200" w:line="312" w:lineRule="auto"/>
      </w:pPr>
      <w:r>
        <w:t>A model that has internalized the full mechanism-to-outcome space of drug pharmacology—trained on the same failure corpus that powers the prediction model—can systematize this. It can identify that a shelved compound’s mechanism of action matches a disease pathway it was never tested against. It can flag that a compound’s off-target activity, which was a nuisance in its original indication, is the primary therapeutic mechanism for a different condition.</w:t>
      </w:r>
    </w:p>
    <w:p w14:paraId="2434F355" w14:textId="77777777" w:rsidR="00E306F2" w:rsidRDefault="00000000">
      <w:pPr>
        <w:pStyle w:val="Heading2"/>
      </w:pPr>
      <w:r>
        <w:t>Inverting the Flatiron Problem</w:t>
      </w:r>
    </w:p>
    <w:p w14:paraId="1E67C718" w14:textId="77777777" w:rsidR="00E306F2" w:rsidRDefault="00000000">
      <w:pPr>
        <w:spacing w:after="200" w:line="312" w:lineRule="auto"/>
      </w:pPr>
      <w:r>
        <w:t>Burnett’s strongest structural argument is the Flatiron Health parallel: Roche acquired the largest real-world oncology data platform for $1.9 billion in 2018 and discovered that competitors became reluctant to share proprietary data with a system owned by a rival. Burnett argues Anthropic faces the same friction, amplified: “It is not just storing data, it is claiming to extract discoveries from it.”</w:t>
      </w:r>
      <w:r>
        <w:rPr>
          <w:rStyle w:val="FootnoteReference"/>
        </w:rPr>
        <w:footnoteReference w:id="15"/>
      </w:r>
    </w:p>
    <w:p w14:paraId="0E4D9493" w14:textId="77777777" w:rsidR="00E306F2" w:rsidRDefault="00000000">
      <w:pPr>
        <w:spacing w:after="200" w:line="312" w:lineRule="auto"/>
      </w:pPr>
      <w:r>
        <w:t xml:space="preserve">This friction is real for active programs. No pharma company will share data on its lead clinical assets with a platform that might help a competitor. But for </w:t>
      </w:r>
      <w:r>
        <w:rPr>
          <w:i/>
          <w:iCs/>
        </w:rPr>
        <w:t>shelved compounds</w:t>
      </w:r>
      <w:r>
        <w:t xml:space="preserve">, the incentive structure inverts. A shelved compound generates zero revenue. If an AI model identifies that Shelved Compound </w:t>
      </w:r>
      <w:proofErr w:type="gramStart"/>
      <w:r>
        <w:t>X—which</w:t>
      </w:r>
      <w:proofErr w:type="gramEnd"/>
      <w:r>
        <w:t xml:space="preserve"> failed as an oncology </w:t>
      </w:r>
      <w:proofErr w:type="gramStart"/>
      <w:r>
        <w:t>drug—</w:t>
      </w:r>
      <w:proofErr w:type="gramEnd"/>
      <w:r>
        <w:t xml:space="preserve">has a mechanistic profile that predicts efficacy in a rare autoimmune condition the company was not targeting, that is found money. </w:t>
      </w:r>
      <w:r>
        <w:lastRenderedPageBreak/>
        <w:t>The originating company retains IP, runs the repurposing trial (cheaper and faster because safety data already exists), and captures revenue from an asset that was otherwise worthless.</w:t>
      </w:r>
    </w:p>
    <w:p w14:paraId="51498F5D" w14:textId="77777777" w:rsidR="00E306F2" w:rsidRDefault="00000000">
      <w:pPr>
        <w:spacing w:after="200" w:line="312" w:lineRule="auto"/>
      </w:pPr>
      <w:r>
        <w:t xml:space="preserve">In this model, pharma companies are incentivized to contribute shelved-compound data because the upside is asymmetric: contribute data on a zero-value asset, potentially receive a repurposed drug worth hundreds of millions. The more companies contribute, the better the model becomes at cross-referencing mechanisms across portfolios, and the more </w:t>
      </w:r>
      <w:proofErr w:type="gramStart"/>
      <w:r>
        <w:t>repurposing</w:t>
      </w:r>
      <w:proofErr w:type="gramEnd"/>
      <w:r>
        <w:t xml:space="preserve"> opportunities it identifies. This is a flywheel: more data → better model → more value returned → more data contributed → better model. The competitive risk of sharing is near zero because the shared data has already failed.</w:t>
      </w:r>
    </w:p>
    <w:p w14:paraId="0E0DB2F6" w14:textId="77777777" w:rsidR="00E306F2" w:rsidRDefault="00000000">
      <w:pPr>
        <w:spacing w:after="200" w:line="312" w:lineRule="auto"/>
      </w:pPr>
      <w:r>
        <w:t>The Broad Institute’s Drug Repurposing Hub validates this concept at small scale: approximately 7,450 compounds and 2,255 targets, publicly available.</w:t>
      </w:r>
      <w:r>
        <w:rPr>
          <w:rStyle w:val="FootnoteReference"/>
        </w:rPr>
        <w:footnoteReference w:id="16"/>
      </w:r>
      <w:r>
        <w:t xml:space="preserve"> What Anthropic could build—with the Coefficient Bio team’s domain knowledge, Claude’s reasoning capability, and the trust architecture of a neutral AI platform—is the Broad Hub at 100x scale, with dynamic reasoning, integrated into the pharma workflow. The closest analogy is not Royalty Pharma or Veeva; it is Bloomberg Terminal for drug development: a platform where aggregated data is more valuable than any company’s individual contribution.</w:t>
      </w:r>
    </w:p>
    <w:p w14:paraId="3E97487B" w14:textId="77777777" w:rsidR="00E306F2" w:rsidRDefault="00000000">
      <w:r>
        <w:br w:type="page"/>
      </w:r>
    </w:p>
    <w:p w14:paraId="4CC46A9A" w14:textId="77777777" w:rsidR="00E306F2" w:rsidRDefault="00000000">
      <w:pPr>
        <w:pStyle w:val="Heading1"/>
      </w:pPr>
      <w:r>
        <w:lastRenderedPageBreak/>
        <w:t>VI. Veeva as the Ethical Layer</w:t>
      </w:r>
    </w:p>
    <w:p w14:paraId="263A8092" w14:textId="77777777" w:rsidR="00E306F2" w:rsidRDefault="00000000">
      <w:pPr>
        <w:spacing w:after="200" w:line="312" w:lineRule="auto"/>
      </w:pPr>
      <w:r>
        <w:t>Every version of this thesis makes Veeva Systems more valuable, not less. Veeva is not merely a regulatory compliance platform; it is the closest thing the pharmaceutical industry has to an operating system. Founded in 2007, it spent fifteen years expanding from a CRM for pharmaceutical sales reps into clinical trial management, regulatory submissions, quality documentation, pharmacovigilance, manufacturing compliance, and commercial operations. It serves 47 of the top 50 pharmaceutical companies, holds 20 of the top 20 electronic trial master file deployments, and generates over $3 billion in annual revenue.</w:t>
      </w:r>
    </w:p>
    <w:p w14:paraId="2D6326B9" w14:textId="77777777" w:rsidR="00E306F2" w:rsidRDefault="00000000">
      <w:pPr>
        <w:spacing w:after="200" w:line="312" w:lineRule="auto"/>
      </w:pPr>
      <w:r>
        <w:t xml:space="preserve">The switching costs are not </w:t>
      </w:r>
      <w:proofErr w:type="gramStart"/>
      <w:r>
        <w:t>commercial—</w:t>
      </w:r>
      <w:proofErr w:type="gramEnd"/>
      <w:r>
        <w:t>they are regulatory. Every software system that touches clinical data or regulatory submissions must be validated under FDA’s 21 CFR Part 11. Validated means documented evidence that the system performs correctly for its intended purpose, auditable by regulators. Replacing a validated Veeva system requires complete revalidation costing millions and taking 12–18 months. These are compliance obligations written into law.</w:t>
      </w:r>
    </w:p>
    <w:p w14:paraId="4FD15E33" w14:textId="77777777" w:rsidR="00E306F2" w:rsidRDefault="00000000">
      <w:pPr>
        <w:spacing w:after="200" w:line="312" w:lineRule="auto"/>
      </w:pPr>
      <w:r>
        <w:t xml:space="preserve">In the failure model architecture, Veeva’s role sharpens into something more specific and more defensible than “system of record.” It becomes the </w:t>
      </w:r>
      <w:r>
        <w:rPr>
          <w:b/>
          <w:bCs/>
        </w:rPr>
        <w:t>ethical and governance layer</w:t>
      </w:r>
      <w:r>
        <w:t xml:space="preserve"> through which failure intelligence is deployed:</w:t>
      </w:r>
    </w:p>
    <w:p w14:paraId="2E179FF2" w14:textId="77777777" w:rsidR="00E306F2" w:rsidRDefault="00000000">
      <w:pPr>
        <w:pStyle w:val="ListParagraph"/>
        <w:numPr>
          <w:ilvl w:val="0"/>
          <w:numId w:val="2"/>
        </w:numPr>
        <w:spacing w:after="120" w:line="312" w:lineRule="auto"/>
      </w:pPr>
      <w:r>
        <w:rPr>
          <w:b/>
          <w:bCs/>
        </w:rPr>
        <w:t xml:space="preserve">Decision audit trail. </w:t>
      </w:r>
      <w:r>
        <w:t>When a drug program is evaluated against the failure model, the prediction, its confidence, the historical precedents cited, and the decision to advance or kill the program are all logged in Vault. That audit trail becomes a regulatory asset—documented evidence that the sponsor used the best available tools for patient safety.</w:t>
      </w:r>
    </w:p>
    <w:p w14:paraId="5B5FE373" w14:textId="77777777" w:rsidR="00E306F2" w:rsidRDefault="00000000">
      <w:pPr>
        <w:pStyle w:val="ListParagraph"/>
        <w:numPr>
          <w:ilvl w:val="0"/>
          <w:numId w:val="2"/>
        </w:numPr>
        <w:spacing w:after="120" w:line="312" w:lineRule="auto"/>
      </w:pPr>
      <w:r>
        <w:rPr>
          <w:b/>
          <w:bCs/>
        </w:rPr>
        <w:t xml:space="preserve">Compliance gateway. </w:t>
      </w:r>
      <w:r>
        <w:t>The failure model’s output triggers compliance workflows: additional safety monitoring, modified trial designs, escalated review. These workflows already exist in Vault’s CAPA (Corrective and Preventive Action), deviation investigation, and change control modules.</w:t>
      </w:r>
    </w:p>
    <w:p w14:paraId="08A59922" w14:textId="77777777" w:rsidR="00E306F2" w:rsidRDefault="00000000">
      <w:pPr>
        <w:pStyle w:val="ListParagraph"/>
        <w:numPr>
          <w:ilvl w:val="0"/>
          <w:numId w:val="2"/>
        </w:numPr>
        <w:spacing w:after="120" w:line="312" w:lineRule="auto"/>
      </w:pPr>
      <w:r>
        <w:rPr>
          <w:b/>
          <w:bCs/>
        </w:rPr>
        <w:t xml:space="preserve">Ethical safeguard. </w:t>
      </w:r>
      <w:r>
        <w:t>If AI accelerates pharma decision-making, the governance layer must be stronger, not thinner, because the consequences of bad decisions scale with speed. Veeva becomes more essential in an AI-accelerated world precisely because it is the system that catches and records what happens when things go wrong.</w:t>
      </w:r>
    </w:p>
    <w:p w14:paraId="53F06579" w14:textId="77777777" w:rsidR="00E306F2" w:rsidRDefault="00000000">
      <w:pPr>
        <w:spacing w:after="200" w:line="312" w:lineRule="auto"/>
      </w:pPr>
      <w:r>
        <w:t>Veeva AI Agents—powered by Claude via AWS Bedrock—are rolling out across this stack: commercial agents launched December 2025, safety and quality agents rolling out April 2026, clinical and regulatory agents in August 2026.</w:t>
      </w:r>
      <w:r>
        <w:rPr>
          <w:rStyle w:val="FootnoteReference"/>
        </w:rPr>
        <w:footnoteReference w:id="17"/>
      </w:r>
      <w:r>
        <w:t xml:space="preserve"> The architecture is already being built. </w:t>
      </w:r>
      <w:r>
        <w:lastRenderedPageBreak/>
        <w:t>Anthropic provides the frontier reasoning model; Veeva provides the validated, regulated, audit-proof environment in which that reasoning is deployed. Neither can do the other’s job.</w:t>
      </w:r>
    </w:p>
    <w:p w14:paraId="4871AEAB" w14:textId="77777777" w:rsidR="00E306F2" w:rsidRDefault="00000000">
      <w:r>
        <w:br w:type="page"/>
      </w:r>
    </w:p>
    <w:p w14:paraId="4C46BC8C" w14:textId="77777777" w:rsidR="00E306F2" w:rsidRDefault="00000000">
      <w:pPr>
        <w:pStyle w:val="Heading1"/>
      </w:pPr>
      <w:r>
        <w:lastRenderedPageBreak/>
        <w:t>VII. How This Differs from Burnett’s Framework</w:t>
      </w:r>
    </w:p>
    <w:p w14:paraId="50BC2C50" w14:textId="77777777" w:rsidR="00E306F2" w:rsidRDefault="00000000">
      <w:pPr>
        <w:spacing w:after="200" w:line="312" w:lineRule="auto"/>
      </w:pPr>
      <w:r>
        <w:t>Burnett’s analysis and ours share a starting point—the $400 million acquisition of a sub-</w:t>
      </w:r>
      <w:proofErr w:type="gramStart"/>
      <w:r>
        <w:t>ten</w:t>
      </w:r>
      <w:proofErr w:type="gramEnd"/>
      <w:r>
        <w:t>-person startup is not a conventional business decision—but diverge on what it means.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36CA2" w14:paraId="76556C07" w14:textId="77777777">
        <w:tblPrEx>
          <w:tblCellMar>
            <w:top w:w="0" w:type="dxa"/>
            <w:bottom w:w="0" w:type="dxa"/>
          </w:tblCellMar>
        </w:tblPrEx>
        <w:tc>
          <w:tcPr>
            <w:tcW w:w="3120" w:type="dxa"/>
            <w:shd w:val="clear" w:color="auto" w:fill="E8E8E8"/>
            <w:tcMar>
              <w:top w:w="80" w:type="dxa"/>
              <w:left w:w="120" w:type="dxa"/>
              <w:bottom w:w="80" w:type="dxa"/>
              <w:right w:w="120" w:type="dxa"/>
            </w:tcMar>
          </w:tcPr>
          <w:p w14:paraId="5DFCD0A7" w14:textId="77777777" w:rsidR="00E306F2" w:rsidRDefault="00E306F2"/>
        </w:tc>
        <w:tc>
          <w:tcPr>
            <w:tcW w:w="3120" w:type="dxa"/>
            <w:shd w:val="clear" w:color="auto" w:fill="E8E8E8"/>
            <w:tcMar>
              <w:top w:w="80" w:type="dxa"/>
              <w:left w:w="120" w:type="dxa"/>
              <w:bottom w:w="80" w:type="dxa"/>
              <w:right w:w="120" w:type="dxa"/>
            </w:tcMar>
          </w:tcPr>
          <w:p w14:paraId="46DD7D78" w14:textId="77777777" w:rsidR="00E306F2" w:rsidRDefault="00000000">
            <w:r>
              <w:rPr>
                <w:b/>
                <w:bCs/>
                <w:sz w:val="20"/>
                <w:szCs w:val="20"/>
              </w:rPr>
              <w:t>Burnett</w:t>
            </w:r>
          </w:p>
        </w:tc>
        <w:tc>
          <w:tcPr>
            <w:tcW w:w="3120" w:type="dxa"/>
            <w:shd w:val="clear" w:color="auto" w:fill="E8E8E8"/>
            <w:tcMar>
              <w:top w:w="80" w:type="dxa"/>
              <w:left w:w="120" w:type="dxa"/>
              <w:bottom w:w="80" w:type="dxa"/>
              <w:right w:w="120" w:type="dxa"/>
            </w:tcMar>
          </w:tcPr>
          <w:p w14:paraId="3A234687" w14:textId="77777777" w:rsidR="00E306F2" w:rsidRDefault="00000000">
            <w:r>
              <w:rPr>
                <w:b/>
                <w:bCs/>
                <w:sz w:val="20"/>
                <w:szCs w:val="20"/>
              </w:rPr>
              <w:t>This Paper</w:t>
            </w:r>
          </w:p>
        </w:tc>
      </w:tr>
      <w:tr w:rsidR="00936CA2" w14:paraId="29B2E98E" w14:textId="77777777">
        <w:tblPrEx>
          <w:tblCellMar>
            <w:top w:w="0" w:type="dxa"/>
            <w:bottom w:w="0" w:type="dxa"/>
          </w:tblCellMar>
        </w:tblPrEx>
        <w:tc>
          <w:tcPr>
            <w:tcW w:w="3120" w:type="dxa"/>
            <w:tcMar>
              <w:top w:w="80" w:type="dxa"/>
              <w:left w:w="120" w:type="dxa"/>
              <w:bottom w:w="80" w:type="dxa"/>
              <w:right w:w="120" w:type="dxa"/>
            </w:tcMar>
          </w:tcPr>
          <w:p w14:paraId="461E3138" w14:textId="77777777" w:rsidR="00E306F2" w:rsidRDefault="00000000">
            <w:r>
              <w:rPr>
                <w:b/>
                <w:bCs/>
                <w:sz w:val="19"/>
                <w:szCs w:val="19"/>
              </w:rPr>
              <w:t>Binding constraint</w:t>
            </w:r>
          </w:p>
        </w:tc>
        <w:tc>
          <w:tcPr>
            <w:tcW w:w="3120" w:type="dxa"/>
            <w:tcMar>
              <w:top w:w="80" w:type="dxa"/>
              <w:left w:w="120" w:type="dxa"/>
              <w:bottom w:w="80" w:type="dxa"/>
              <w:right w:w="120" w:type="dxa"/>
            </w:tcMar>
          </w:tcPr>
          <w:p w14:paraId="0F5301BF" w14:textId="77777777" w:rsidR="00E306F2" w:rsidRDefault="00000000">
            <w:r>
              <w:rPr>
                <w:sz w:val="19"/>
                <w:szCs w:val="19"/>
              </w:rPr>
              <w:t>Molecular design</w:t>
            </w:r>
          </w:p>
        </w:tc>
        <w:tc>
          <w:tcPr>
            <w:tcW w:w="3120" w:type="dxa"/>
            <w:tcMar>
              <w:top w:w="80" w:type="dxa"/>
              <w:left w:w="120" w:type="dxa"/>
              <w:bottom w:w="80" w:type="dxa"/>
              <w:right w:w="120" w:type="dxa"/>
            </w:tcMar>
          </w:tcPr>
          <w:p w14:paraId="7E76AC0A" w14:textId="77777777" w:rsidR="00E306F2" w:rsidRDefault="00000000">
            <w:r>
              <w:rPr>
                <w:sz w:val="19"/>
                <w:szCs w:val="19"/>
              </w:rPr>
              <w:t>Decision quality at the IND gate</w:t>
            </w:r>
          </w:p>
        </w:tc>
      </w:tr>
      <w:tr w:rsidR="00936CA2" w14:paraId="56860C93" w14:textId="77777777">
        <w:tblPrEx>
          <w:tblCellMar>
            <w:top w:w="0" w:type="dxa"/>
            <w:bottom w:w="0" w:type="dxa"/>
          </w:tblCellMar>
        </w:tblPrEx>
        <w:tc>
          <w:tcPr>
            <w:tcW w:w="3120" w:type="dxa"/>
            <w:tcMar>
              <w:top w:w="80" w:type="dxa"/>
              <w:left w:w="120" w:type="dxa"/>
              <w:bottom w:w="80" w:type="dxa"/>
              <w:right w:w="120" w:type="dxa"/>
            </w:tcMar>
          </w:tcPr>
          <w:p w14:paraId="4FB6B20B" w14:textId="77777777" w:rsidR="00E306F2" w:rsidRDefault="00000000">
            <w:r>
              <w:rPr>
                <w:b/>
                <w:bCs/>
                <w:sz w:val="19"/>
                <w:szCs w:val="19"/>
              </w:rPr>
              <w:t>Strategic framing</w:t>
            </w:r>
          </w:p>
        </w:tc>
        <w:tc>
          <w:tcPr>
            <w:tcW w:w="3120" w:type="dxa"/>
            <w:tcMar>
              <w:top w:w="80" w:type="dxa"/>
              <w:left w:w="120" w:type="dxa"/>
              <w:bottom w:w="80" w:type="dxa"/>
              <w:right w:w="120" w:type="dxa"/>
            </w:tcMar>
          </w:tcPr>
          <w:p w14:paraId="2ED93873" w14:textId="77777777" w:rsidR="00E306F2" w:rsidRDefault="00000000">
            <w:r>
              <w:rPr>
                <w:sz w:val="19"/>
                <w:szCs w:val="19"/>
              </w:rPr>
              <w:t>Three separate business models</w:t>
            </w:r>
          </w:p>
        </w:tc>
        <w:tc>
          <w:tcPr>
            <w:tcW w:w="3120" w:type="dxa"/>
            <w:tcMar>
              <w:top w:w="80" w:type="dxa"/>
              <w:left w:w="120" w:type="dxa"/>
              <w:bottom w:w="80" w:type="dxa"/>
              <w:right w:w="120" w:type="dxa"/>
            </w:tcMar>
          </w:tcPr>
          <w:p w14:paraId="5E574F32" w14:textId="77777777" w:rsidR="00E306F2" w:rsidRDefault="00000000">
            <w:r>
              <w:rPr>
                <w:sz w:val="19"/>
                <w:szCs w:val="19"/>
              </w:rPr>
              <w:t>Cumulative layers on a single vertical-integration axis</w:t>
            </w:r>
          </w:p>
        </w:tc>
      </w:tr>
      <w:tr w:rsidR="00936CA2" w14:paraId="36081C02" w14:textId="77777777">
        <w:tblPrEx>
          <w:tblCellMar>
            <w:top w:w="0" w:type="dxa"/>
            <w:bottom w:w="0" w:type="dxa"/>
          </w:tblCellMar>
        </w:tblPrEx>
        <w:tc>
          <w:tcPr>
            <w:tcW w:w="3120" w:type="dxa"/>
            <w:tcMar>
              <w:top w:w="80" w:type="dxa"/>
              <w:left w:w="120" w:type="dxa"/>
              <w:bottom w:w="80" w:type="dxa"/>
              <w:right w:w="120" w:type="dxa"/>
            </w:tcMar>
          </w:tcPr>
          <w:p w14:paraId="6F9D5451" w14:textId="77777777" w:rsidR="00E306F2" w:rsidRDefault="00000000">
            <w:r>
              <w:rPr>
                <w:b/>
                <w:bCs/>
                <w:sz w:val="19"/>
                <w:szCs w:val="19"/>
              </w:rPr>
              <w:t>Core Anthropic play</w:t>
            </w:r>
          </w:p>
        </w:tc>
        <w:tc>
          <w:tcPr>
            <w:tcW w:w="3120" w:type="dxa"/>
            <w:tcMar>
              <w:top w:w="80" w:type="dxa"/>
              <w:left w:w="120" w:type="dxa"/>
              <w:bottom w:w="80" w:type="dxa"/>
              <w:right w:w="120" w:type="dxa"/>
            </w:tcMar>
          </w:tcPr>
          <w:p w14:paraId="01B89D5E" w14:textId="77777777" w:rsidR="00E306F2" w:rsidRDefault="00000000">
            <w:r>
              <w:rPr>
                <w:sz w:val="19"/>
                <w:szCs w:val="19"/>
              </w:rPr>
              <w:t>Unclear; possibly a research conviction bet</w:t>
            </w:r>
          </w:p>
        </w:tc>
        <w:tc>
          <w:tcPr>
            <w:tcW w:w="3120" w:type="dxa"/>
            <w:tcMar>
              <w:top w:w="80" w:type="dxa"/>
              <w:left w:w="120" w:type="dxa"/>
              <w:bottom w:w="80" w:type="dxa"/>
              <w:right w:w="120" w:type="dxa"/>
            </w:tcMar>
          </w:tcPr>
          <w:p w14:paraId="2279CF08" w14:textId="77777777" w:rsidR="00E306F2" w:rsidRDefault="00000000">
            <w:r>
              <w:rPr>
                <w:sz w:val="19"/>
                <w:szCs w:val="19"/>
              </w:rPr>
              <w:t>Failure prediction model trained on decades of clinical/preclinical data</w:t>
            </w:r>
          </w:p>
        </w:tc>
      </w:tr>
      <w:tr w:rsidR="00936CA2" w14:paraId="68EBF5BD" w14:textId="77777777">
        <w:tblPrEx>
          <w:tblCellMar>
            <w:top w:w="0" w:type="dxa"/>
            <w:bottom w:w="0" w:type="dxa"/>
          </w:tblCellMar>
        </w:tblPrEx>
        <w:tc>
          <w:tcPr>
            <w:tcW w:w="3120" w:type="dxa"/>
            <w:tcMar>
              <w:top w:w="80" w:type="dxa"/>
              <w:left w:w="120" w:type="dxa"/>
              <w:bottom w:w="80" w:type="dxa"/>
              <w:right w:w="120" w:type="dxa"/>
            </w:tcMar>
          </w:tcPr>
          <w:p w14:paraId="702748BF" w14:textId="77777777" w:rsidR="00E306F2" w:rsidRDefault="00000000">
            <w:r>
              <w:rPr>
                <w:b/>
                <w:bCs/>
                <w:sz w:val="19"/>
                <w:szCs w:val="19"/>
              </w:rPr>
              <w:t>Value of failure data</w:t>
            </w:r>
          </w:p>
        </w:tc>
        <w:tc>
          <w:tcPr>
            <w:tcW w:w="3120" w:type="dxa"/>
            <w:tcMar>
              <w:top w:w="80" w:type="dxa"/>
              <w:left w:w="120" w:type="dxa"/>
              <w:bottom w:w="80" w:type="dxa"/>
              <w:right w:w="120" w:type="dxa"/>
            </w:tcMar>
          </w:tcPr>
          <w:p w14:paraId="2E1EC74A" w14:textId="77777777" w:rsidR="00E306F2" w:rsidRDefault="00000000">
            <w:r>
              <w:rPr>
                <w:sz w:val="19"/>
                <w:szCs w:val="19"/>
              </w:rPr>
              <w:t>Not addressed</w:t>
            </w:r>
          </w:p>
        </w:tc>
        <w:tc>
          <w:tcPr>
            <w:tcW w:w="3120" w:type="dxa"/>
            <w:tcMar>
              <w:top w:w="80" w:type="dxa"/>
              <w:left w:w="120" w:type="dxa"/>
              <w:bottom w:w="80" w:type="dxa"/>
              <w:right w:w="120" w:type="dxa"/>
            </w:tcMar>
          </w:tcPr>
          <w:p w14:paraId="6DD03E1E" w14:textId="77777777" w:rsidR="00E306F2" w:rsidRDefault="00000000">
            <w:r>
              <w:rPr>
                <w:sz w:val="19"/>
                <w:szCs w:val="19"/>
              </w:rPr>
              <w:t>Primary training corpus; largely public; no Flatiron friction</w:t>
            </w:r>
          </w:p>
        </w:tc>
      </w:tr>
      <w:tr w:rsidR="00936CA2" w14:paraId="171E18C3" w14:textId="77777777">
        <w:tblPrEx>
          <w:tblCellMar>
            <w:top w:w="0" w:type="dxa"/>
            <w:bottom w:w="0" w:type="dxa"/>
          </w:tblCellMar>
        </w:tblPrEx>
        <w:tc>
          <w:tcPr>
            <w:tcW w:w="3120" w:type="dxa"/>
            <w:tcMar>
              <w:top w:w="80" w:type="dxa"/>
              <w:left w:w="120" w:type="dxa"/>
              <w:bottom w:w="80" w:type="dxa"/>
              <w:right w:w="120" w:type="dxa"/>
            </w:tcMar>
          </w:tcPr>
          <w:p w14:paraId="3F3F42C7" w14:textId="77777777" w:rsidR="00E306F2" w:rsidRDefault="00000000">
            <w:r>
              <w:rPr>
                <w:b/>
                <w:bCs/>
                <w:sz w:val="19"/>
                <w:szCs w:val="19"/>
              </w:rPr>
              <w:t>Drug repurposing</w:t>
            </w:r>
          </w:p>
        </w:tc>
        <w:tc>
          <w:tcPr>
            <w:tcW w:w="3120" w:type="dxa"/>
            <w:tcMar>
              <w:top w:w="80" w:type="dxa"/>
              <w:left w:w="120" w:type="dxa"/>
              <w:bottom w:w="80" w:type="dxa"/>
              <w:right w:w="120" w:type="dxa"/>
            </w:tcMar>
          </w:tcPr>
          <w:p w14:paraId="78F1B471" w14:textId="77777777" w:rsidR="00E306F2" w:rsidRDefault="00000000">
            <w:r>
              <w:rPr>
                <w:sz w:val="19"/>
                <w:szCs w:val="19"/>
              </w:rPr>
              <w:t>Not addressed</w:t>
            </w:r>
          </w:p>
        </w:tc>
        <w:tc>
          <w:tcPr>
            <w:tcW w:w="3120" w:type="dxa"/>
            <w:tcMar>
              <w:top w:w="80" w:type="dxa"/>
              <w:left w:w="120" w:type="dxa"/>
              <w:bottom w:w="80" w:type="dxa"/>
              <w:right w:w="120" w:type="dxa"/>
            </w:tcMar>
          </w:tcPr>
          <w:p w14:paraId="6BA43F52" w14:textId="77777777" w:rsidR="00E306F2" w:rsidRDefault="00000000">
            <w:r>
              <w:rPr>
                <w:sz w:val="19"/>
                <w:szCs w:val="19"/>
              </w:rPr>
              <w:t>Second application of the failure model; inverts Flatiron data-sharing problem</w:t>
            </w:r>
          </w:p>
        </w:tc>
      </w:tr>
      <w:tr w:rsidR="00936CA2" w14:paraId="187A66B7" w14:textId="77777777">
        <w:tblPrEx>
          <w:tblCellMar>
            <w:top w:w="0" w:type="dxa"/>
            <w:bottom w:w="0" w:type="dxa"/>
          </w:tblCellMar>
        </w:tblPrEx>
        <w:tc>
          <w:tcPr>
            <w:tcW w:w="3120" w:type="dxa"/>
            <w:tcMar>
              <w:top w:w="80" w:type="dxa"/>
              <w:left w:w="120" w:type="dxa"/>
              <w:bottom w:w="80" w:type="dxa"/>
              <w:right w:w="120" w:type="dxa"/>
            </w:tcMar>
          </w:tcPr>
          <w:p w14:paraId="78A8C0EF" w14:textId="77777777" w:rsidR="00E306F2" w:rsidRDefault="00000000">
            <w:r>
              <w:rPr>
                <w:b/>
                <w:bCs/>
                <w:sz w:val="19"/>
                <w:szCs w:val="19"/>
              </w:rPr>
              <w:t>Veeva’s role</w:t>
            </w:r>
          </w:p>
        </w:tc>
        <w:tc>
          <w:tcPr>
            <w:tcW w:w="3120" w:type="dxa"/>
            <w:tcMar>
              <w:top w:w="80" w:type="dxa"/>
              <w:left w:w="120" w:type="dxa"/>
              <w:bottom w:w="80" w:type="dxa"/>
              <w:right w:w="120" w:type="dxa"/>
            </w:tcMar>
          </w:tcPr>
          <w:p w14:paraId="7CFE97B1" w14:textId="77777777" w:rsidR="00E306F2" w:rsidRDefault="00000000">
            <w:r>
              <w:rPr>
                <w:sz w:val="19"/>
                <w:szCs w:val="19"/>
              </w:rPr>
              <w:t xml:space="preserve">Acknowledged as a moat but treated as separate from </w:t>
            </w:r>
            <w:proofErr w:type="spellStart"/>
            <w:r>
              <w:rPr>
                <w:sz w:val="19"/>
                <w:szCs w:val="19"/>
              </w:rPr>
              <w:t>Anthropic’s</w:t>
            </w:r>
            <w:proofErr w:type="spellEnd"/>
            <w:r>
              <w:rPr>
                <w:sz w:val="19"/>
                <w:szCs w:val="19"/>
              </w:rPr>
              <w:t xml:space="preserve"> strategy</w:t>
            </w:r>
          </w:p>
        </w:tc>
        <w:tc>
          <w:tcPr>
            <w:tcW w:w="3120" w:type="dxa"/>
            <w:tcMar>
              <w:top w:w="80" w:type="dxa"/>
              <w:left w:w="120" w:type="dxa"/>
              <w:bottom w:w="80" w:type="dxa"/>
              <w:right w:w="120" w:type="dxa"/>
            </w:tcMar>
          </w:tcPr>
          <w:p w14:paraId="4E0E5FB4" w14:textId="77777777" w:rsidR="00E306F2" w:rsidRDefault="00000000">
            <w:r>
              <w:rPr>
                <w:sz w:val="19"/>
                <w:szCs w:val="19"/>
              </w:rPr>
              <w:t>Ethical and governance layer integral to the failure model architecture</w:t>
            </w:r>
          </w:p>
        </w:tc>
      </w:tr>
      <w:tr w:rsidR="00936CA2" w14:paraId="73FF870B" w14:textId="77777777">
        <w:tblPrEx>
          <w:tblCellMar>
            <w:top w:w="0" w:type="dxa"/>
            <w:bottom w:w="0" w:type="dxa"/>
          </w:tblCellMar>
        </w:tblPrEx>
        <w:tc>
          <w:tcPr>
            <w:tcW w:w="3120" w:type="dxa"/>
            <w:tcMar>
              <w:top w:w="80" w:type="dxa"/>
              <w:left w:w="120" w:type="dxa"/>
              <w:bottom w:w="80" w:type="dxa"/>
              <w:right w:w="120" w:type="dxa"/>
            </w:tcMar>
          </w:tcPr>
          <w:p w14:paraId="2AC34AA8" w14:textId="77777777" w:rsidR="00E306F2" w:rsidRDefault="00000000">
            <w:r>
              <w:rPr>
                <w:b/>
                <w:bCs/>
                <w:sz w:val="19"/>
                <w:szCs w:val="19"/>
              </w:rPr>
              <w:t>Compressed 21st century</w:t>
            </w:r>
          </w:p>
        </w:tc>
        <w:tc>
          <w:tcPr>
            <w:tcW w:w="3120" w:type="dxa"/>
            <w:tcMar>
              <w:top w:w="80" w:type="dxa"/>
              <w:left w:w="120" w:type="dxa"/>
              <w:bottom w:w="80" w:type="dxa"/>
              <w:right w:w="120" w:type="dxa"/>
            </w:tcMar>
          </w:tcPr>
          <w:p w14:paraId="2113D025" w14:textId="77777777" w:rsidR="00E306F2" w:rsidRDefault="00000000">
            <w:r>
              <w:rPr>
                <w:sz w:val="19"/>
                <w:szCs w:val="19"/>
              </w:rPr>
              <w:t>Amodei’s personal conviction; possibly not about business</w:t>
            </w:r>
          </w:p>
        </w:tc>
        <w:tc>
          <w:tcPr>
            <w:tcW w:w="3120" w:type="dxa"/>
            <w:tcMar>
              <w:top w:w="80" w:type="dxa"/>
              <w:left w:w="120" w:type="dxa"/>
              <w:bottom w:w="80" w:type="dxa"/>
              <w:right w:w="120" w:type="dxa"/>
            </w:tcMar>
          </w:tcPr>
          <w:p w14:paraId="1024EF5D" w14:textId="77777777" w:rsidR="00E306F2" w:rsidRDefault="00000000">
            <w:r>
              <w:rPr>
                <w:sz w:val="19"/>
                <w:szCs w:val="19"/>
              </w:rPr>
              <w:t>Achievable through elimination of predictable failures, not faster molecules</w:t>
            </w:r>
          </w:p>
        </w:tc>
      </w:tr>
    </w:tbl>
    <w:p w14:paraId="2CEC9D0B" w14:textId="77777777" w:rsidR="00E306F2" w:rsidRDefault="00E306F2">
      <w:pPr>
        <w:spacing w:after="80"/>
      </w:pPr>
    </w:p>
    <w:p w14:paraId="0C518624" w14:textId="77777777" w:rsidR="00E306F2" w:rsidRDefault="00000000">
      <w:pPr>
        <w:spacing w:after="200" w:line="312" w:lineRule="auto"/>
      </w:pPr>
      <w:r>
        <w:t xml:space="preserve">The most consequential difference is on the question of what Anthropic is building. Burnett concludes the acquisition “makes most sense when you stop reading it as a business decision and read it as an expression of what Dario Amodei actually believes.” We agree that Amodei’s conviction drives the </w:t>
      </w:r>
      <w:proofErr w:type="gramStart"/>
      <w:r>
        <w:t>acquisition, but</w:t>
      </w:r>
      <w:proofErr w:type="gramEnd"/>
      <w:r>
        <w:t xml:space="preserve"> disagree that this makes the commercial analysis irrelevant. The failure model thesis offers a specific, testable commercial mechanism: </w:t>
      </w:r>
      <w:r>
        <w:rPr>
          <w:i/>
          <w:iCs/>
        </w:rPr>
        <w:t>build the model that raises the IND entry bar, deploy it via Claude for Healthcare and Veeva partnerships into regulated pharma workflows, and let the economics of eliminated waste and patient safety drive adoption.</w:t>
      </w:r>
    </w:p>
    <w:p w14:paraId="2E93D012" w14:textId="77777777" w:rsidR="00E306F2" w:rsidRDefault="00000000">
      <w:pPr>
        <w:spacing w:after="200" w:line="312" w:lineRule="auto"/>
      </w:pPr>
      <w:r>
        <w:t xml:space="preserve">Burnett’s economic critique—that a Veeva-scale life sciences business would be “rounding error” on </w:t>
      </w:r>
      <w:proofErr w:type="spellStart"/>
      <w:r>
        <w:t>Anthropic’s</w:t>
      </w:r>
      <w:proofErr w:type="spellEnd"/>
      <w:r>
        <w:t xml:space="preserve"> trajectory—is correct for a pure subscription platform. It is potentially incorrect for a failure prediction and repurposing platform that captures value from every program that doesn’t fail and every shelved compound that finds a new life. The addressable value is not Veeva’s $3 billion in software revenue; it is the roughly $50 billion per year the industry spends on clinical trials for drugs that will fail.</w:t>
      </w:r>
    </w:p>
    <w:p w14:paraId="77A216D5" w14:textId="77777777" w:rsidR="00E306F2" w:rsidRDefault="00000000">
      <w:r>
        <w:br w:type="page"/>
      </w:r>
    </w:p>
    <w:p w14:paraId="2052D07C" w14:textId="77777777" w:rsidR="00E306F2" w:rsidRDefault="00000000">
      <w:pPr>
        <w:pStyle w:val="Heading1"/>
      </w:pPr>
      <w:r>
        <w:lastRenderedPageBreak/>
        <w:t>VIII. Risks and Open Questions</w:t>
      </w:r>
    </w:p>
    <w:p w14:paraId="2414D620" w14:textId="77777777" w:rsidR="00E306F2" w:rsidRDefault="00000000">
      <w:pPr>
        <w:spacing w:after="200" w:line="312" w:lineRule="auto"/>
      </w:pPr>
      <w:r>
        <w:rPr>
          <w:b/>
          <w:bCs/>
        </w:rPr>
        <w:t xml:space="preserve">How much of Phase 1/2 failure is </w:t>
      </w:r>
      <w:proofErr w:type="gramStart"/>
      <w:r>
        <w:rPr>
          <w:b/>
          <w:bCs/>
        </w:rPr>
        <w:t>actually predictable</w:t>
      </w:r>
      <w:proofErr w:type="gramEnd"/>
      <w:r>
        <w:rPr>
          <w:b/>
          <w:bCs/>
        </w:rPr>
        <w:t xml:space="preserve">? </w:t>
      </w:r>
      <w:r>
        <w:t xml:space="preserve">The strength of this thesis depends on the fraction of current failures attributable to failure modes a calibrated biology model could plausibly catch pre-IND. If the answer is 60%+, the thesis is transformative. If it’s 20%, it is an engineering win but not a phase change. Published failure-mode analyses suggest </w:t>
      </w:r>
      <w:proofErr w:type="gramStart"/>
      <w:r>
        <w:t>the majority of</w:t>
      </w:r>
      <w:proofErr w:type="gramEnd"/>
      <w:r>
        <w:t xml:space="preserve"> Phase 2 failures are efficacy-driven, and whether AI models can predict efficacy failure from preclinical data is the central open question.</w:t>
      </w:r>
    </w:p>
    <w:p w14:paraId="4E67627D" w14:textId="77777777" w:rsidR="00E306F2" w:rsidRDefault="00000000">
      <w:pPr>
        <w:spacing w:after="200" w:line="312" w:lineRule="auto"/>
      </w:pPr>
      <w:r>
        <w:rPr>
          <w:b/>
          <w:bCs/>
        </w:rPr>
        <w:t xml:space="preserve">Pre-IND failure data is the most valuable and least public. </w:t>
      </w:r>
      <w:r>
        <w:t>The public failure corpus (ClinicalTrials.gov, FAERS, FDA reviews) covers post-Phase-1 failures well but is weakest exactly where the thesis needs it most: detailed preclinical packages from programs that never advanced to IND. This data is largely proprietary. Anthropic may need pharma partnerships to access it, which partially reintroduces the Flatiron friction for this specific tier of data.</w:t>
      </w:r>
    </w:p>
    <w:p w14:paraId="6F3A3F95" w14:textId="77777777" w:rsidR="00E306F2" w:rsidRDefault="00000000">
      <w:pPr>
        <w:spacing w:after="200" w:line="312" w:lineRule="auto"/>
      </w:pPr>
      <w:r>
        <w:rPr>
          <w:b/>
          <w:bCs/>
        </w:rPr>
        <w:t xml:space="preserve">Model calibration in novel biological contexts. </w:t>
      </w:r>
      <w:r>
        <w:t>The failure model is strongest for well-characterized mechanisms where historical precedent exists and weakest for first-in-class programs with novel mechanisms—which are precisely the drugs most worth developing. The paradox: the most valuable programs to advance are the ones where failure prediction is least reliable.</w:t>
      </w:r>
    </w:p>
    <w:p w14:paraId="28A61FBB" w14:textId="77777777" w:rsidR="00E306F2" w:rsidRDefault="00000000">
      <w:pPr>
        <w:spacing w:after="200" w:line="312" w:lineRule="auto"/>
      </w:pPr>
      <w:r>
        <w:rPr>
          <w:b/>
          <w:bCs/>
        </w:rPr>
        <w:t xml:space="preserve">Regulatory acceptance </w:t>
      </w:r>
      <w:proofErr w:type="gramStart"/>
      <w:r>
        <w:rPr>
          <w:b/>
          <w:bCs/>
        </w:rPr>
        <w:t>of in</w:t>
      </w:r>
      <w:proofErr w:type="gramEnd"/>
      <w:r>
        <w:rPr>
          <w:b/>
          <w:bCs/>
        </w:rPr>
        <w:t xml:space="preserve"> silico gating. </w:t>
      </w:r>
      <w:r>
        <w:t>While the FDA Modernization Act 2.0 authorizes computational alternatives and the regulatory direction of travel is favorable, no precedent exists for a regulator accepting an AI model’s recommendation to not advance a drug to human trials. The failure model’s commercial value depends on pharma companies trusting it enough to kill programs based on its output, which requires a track record that does not yet exist.</w:t>
      </w:r>
    </w:p>
    <w:p w14:paraId="081C124B" w14:textId="77777777" w:rsidR="00E306F2" w:rsidRDefault="00000000">
      <w:pPr>
        <w:spacing w:after="200" w:line="312" w:lineRule="auto"/>
      </w:pPr>
      <w:r>
        <w:rPr>
          <w:b/>
          <w:bCs/>
        </w:rPr>
        <w:t xml:space="preserve">Talent retention. </w:t>
      </w:r>
      <w:r>
        <w:t>As Burnett correctly observes, the acquisition is fundamentally a bet on the continued presence and motivation of Frey, Stanton, and their team. Prescient Design was acquired by Genentech in 2021 to bring its capabilities in-house; four years later, the key researchers left. Equity compensation and vesting schedules make repeating that decision more expensive but not impossible.</w:t>
      </w:r>
    </w:p>
    <w:p w14:paraId="37F6740E" w14:textId="77777777" w:rsidR="00E306F2" w:rsidRDefault="00000000">
      <w:pPr>
        <w:pStyle w:val="Heading1"/>
      </w:pPr>
      <w:r>
        <w:t>IX. Conclusion</w:t>
      </w:r>
    </w:p>
    <w:p w14:paraId="04CF0865" w14:textId="77777777" w:rsidR="00E306F2" w:rsidRDefault="00000000">
      <w:pPr>
        <w:spacing w:after="200" w:line="312" w:lineRule="auto"/>
      </w:pPr>
      <w:proofErr w:type="spellStart"/>
      <w:r>
        <w:t>Anthropic’s</w:t>
      </w:r>
      <w:proofErr w:type="spellEnd"/>
      <w:r>
        <w:t xml:space="preserve"> acquisition of Coefficient Bio is not a $400 million bet on molecular design. It is a research investment in building the decision-intelligence layer that the pharmaceutical industry has never had: a model that knows what kills drugs, trained on the largest failure corpus in any industry, deployed through the regulated workflow infrastructure that Veeva already operates.</w:t>
      </w:r>
    </w:p>
    <w:p w14:paraId="1581ACDD" w14:textId="77777777" w:rsidR="00E306F2" w:rsidRDefault="00000000">
      <w:pPr>
        <w:spacing w:after="200" w:line="312" w:lineRule="auto"/>
      </w:pPr>
      <w:r>
        <w:lastRenderedPageBreak/>
        <w:t xml:space="preserve">The compressed-21st-century thesis does not require better molecules, shorter trials, or digital twins of patients. It requires </w:t>
      </w:r>
      <w:r>
        <w:rPr>
          <w:b/>
          <w:bCs/>
        </w:rPr>
        <w:t>not running the programs that were going to fail</w:t>
      </w:r>
      <w:r>
        <w:t>. If 85% of drugs that enter Phase 1 never reach Phase 3, and even a third of those failures were computationally predictable, eliminating them pre-IND would free capital, clinical operations capacity, investigator sites, and patient volunteers for programs with a real chance of success. The pipeline moves faster not because any individual step gets shorter, but because the system stops clogging itself with predictable losers.</w:t>
      </w:r>
    </w:p>
    <w:p w14:paraId="2AD1472B" w14:textId="77777777" w:rsidR="00E306F2" w:rsidRDefault="00000000">
      <w:pPr>
        <w:spacing w:after="200" w:line="312" w:lineRule="auto"/>
      </w:pPr>
      <w:r>
        <w:t xml:space="preserve">The question to watch is not whether Anthropic becomes a pharma company or a platform company. It is whether the failure prediction model can demonstrate calibrated accuracy on retrospective data—can it identify, looking backward, which historical programs would have been </w:t>
      </w:r>
      <w:proofErr w:type="gramStart"/>
      <w:r>
        <w:t>caught?—</w:t>
      </w:r>
      <w:proofErr w:type="gramEnd"/>
      <w:r>
        <w:t>and whether pharma companies trust it enough to kill programs based on its output. That is the testable version of the compressed-21st-century thesis, and it is the first version of that thesis with a falsifiable endpoint.</w:t>
      </w:r>
    </w:p>
    <w:p w14:paraId="39A40EE5" w14:textId="77777777" w:rsidR="00E306F2" w:rsidRDefault="00E306F2">
      <w:pPr>
        <w:spacing w:after="80"/>
      </w:pPr>
    </w:p>
    <w:p w14:paraId="65DC2B99" w14:textId="77777777" w:rsidR="00E306F2" w:rsidRDefault="00000000">
      <w:pPr>
        <w:pBdr>
          <w:top w:val="single" w:sz="4" w:space="8" w:color="CCCCCC"/>
        </w:pBdr>
        <w:spacing w:before="400" w:after="100"/>
      </w:pPr>
      <w:r>
        <w:rPr>
          <w:i/>
          <w:iCs/>
        </w:rPr>
        <w:t>Disclaimer: This paper represents the author’s independent analysis and is not investment advice. All factual claims have been verified against primary sources where available; specific verification notes are maintained separately. The author holds no position in Anthropic (private) and discloses any positions in publicly traded companies mentioned herein as required by applicable regulations.</w:t>
      </w:r>
    </w:p>
    <w:sectPr w:rsidR="00E306F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1E905" w14:textId="77777777" w:rsidR="00A27E75" w:rsidRDefault="00A27E75">
      <w:r>
        <w:separator/>
      </w:r>
    </w:p>
  </w:endnote>
  <w:endnote w:type="continuationSeparator" w:id="0">
    <w:p w14:paraId="4B28EB3E" w14:textId="77777777" w:rsidR="00A27E75" w:rsidRDefault="00A27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49F1" w14:textId="77777777" w:rsidR="00E306F2"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36CA2">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4255B" w14:textId="77777777" w:rsidR="00A27E75" w:rsidRDefault="00A27E75">
      <w:r>
        <w:separator/>
      </w:r>
    </w:p>
  </w:footnote>
  <w:footnote w:type="continuationSeparator" w:id="0">
    <w:p w14:paraId="41B8A471" w14:textId="77777777" w:rsidR="00A27E75" w:rsidRDefault="00A27E75">
      <w:r>
        <w:continuationSeparator/>
      </w:r>
    </w:p>
  </w:footnote>
  <w:footnote w:id="1">
    <w:p w14:paraId="082CB7B1" w14:textId="77777777" w:rsidR="00E306F2" w:rsidRDefault="00000000">
      <w:r>
        <w:rPr>
          <w:rStyle w:val="FootnoteReference"/>
        </w:rPr>
        <w:footnoteRef/>
      </w:r>
      <w:proofErr w:type="spellStart"/>
      <w:r>
        <w:t>FierceBiotech</w:t>
      </w:r>
      <w:proofErr w:type="spellEnd"/>
      <w:r>
        <w:t xml:space="preserve">, TechCrunch, </w:t>
      </w:r>
      <w:proofErr w:type="spellStart"/>
      <w:r>
        <w:t>BioSpace</w:t>
      </w:r>
      <w:proofErr w:type="spellEnd"/>
      <w:r>
        <w:t xml:space="preserve"> — multiple corroborating reports, April 3–4, 2026.</w:t>
      </w:r>
    </w:p>
  </w:footnote>
  <w:footnote w:id="2">
    <w:p w14:paraId="368FC63C" w14:textId="77777777" w:rsidR="00E306F2" w:rsidRDefault="00000000">
      <w:r>
        <w:rPr>
          <w:rStyle w:val="FootnoteReference"/>
        </w:rPr>
        <w:footnoteRef/>
      </w:r>
      <w:r>
        <w:t>Burnett, Ned. "The AI Companies Are Coming for Drug Discovery. Anthropic Just Made It Official." MedTech Monitor, April 11, 2026.</w:t>
      </w:r>
    </w:p>
  </w:footnote>
  <w:footnote w:id="3">
    <w:p w14:paraId="44B4C9D5" w14:textId="77777777" w:rsidR="00E306F2" w:rsidRDefault="00000000">
      <w:r>
        <w:rPr>
          <w:rStyle w:val="FootnoteReference"/>
        </w:rPr>
        <w:footnoteRef/>
      </w:r>
      <w:r>
        <w:t>Amodei, Dario. "Machines of Loving Grace: How AI Could Transform the World for the Better." October 2024.</w:t>
      </w:r>
    </w:p>
  </w:footnote>
  <w:footnote w:id="4">
    <w:p w14:paraId="66AFC8A4" w14:textId="77777777" w:rsidR="00E306F2" w:rsidRDefault="00000000">
      <w:r>
        <w:rPr>
          <w:rStyle w:val="FootnoteReference"/>
        </w:rPr>
        <w:footnoteRef/>
      </w:r>
      <w:r>
        <w:t>Anthropic, "Advancing Claude in Healthcare and the Life Sciences," January 2026. Claude Opus 4.5 with extended thinking mode for medical reasoning.</w:t>
      </w:r>
    </w:p>
  </w:footnote>
  <w:footnote w:id="5">
    <w:p w14:paraId="00B13ABC" w14:textId="77777777" w:rsidR="00E306F2" w:rsidRDefault="00000000">
      <w:r>
        <w:rPr>
          <w:rStyle w:val="FootnoteReference"/>
        </w:rPr>
        <w:footnoteRef/>
      </w:r>
      <w:r>
        <w:t xml:space="preserve">Veeva Systems product page: Veeva AI Agents for Vault CRM use </w:t>
      </w:r>
      <w:proofErr w:type="spellStart"/>
      <w:r>
        <w:t>Anthropic’s</w:t>
      </w:r>
      <w:proofErr w:type="spellEnd"/>
      <w:r>
        <w:t xml:space="preserve"> Claude hosted on AWS Bedrock. Safety &amp; Quality agents rolling out April 2026.</w:t>
      </w:r>
    </w:p>
  </w:footnote>
  <w:footnote w:id="6">
    <w:p w14:paraId="2A26FB24" w14:textId="77777777" w:rsidR="00E306F2" w:rsidRDefault="00000000">
      <w:r>
        <w:rPr>
          <w:rStyle w:val="FootnoteReference"/>
        </w:rPr>
        <w:footnoteRef/>
      </w:r>
      <w:proofErr w:type="spellStart"/>
      <w:r>
        <w:t>Insilico</w:t>
      </w:r>
      <w:proofErr w:type="spellEnd"/>
      <w:r>
        <w:t xml:space="preserve"> Medicine. "A generative AI-discovered TNIK inhibitor for idiopathic pulmonary fibrosis: a randomized phase 2a trial." Nature Medicine, June 2025.</w:t>
      </w:r>
    </w:p>
  </w:footnote>
  <w:footnote w:id="7">
    <w:p w14:paraId="347D5A70" w14:textId="77777777" w:rsidR="00936CA2" w:rsidRDefault="00936CA2"/>
    <w:p w14:paraId="48034F2B" w14:textId="77777777" w:rsidR="00000000" w:rsidRDefault="00000000"/>
  </w:footnote>
  <w:footnote w:id="8">
    <w:p w14:paraId="420109F6" w14:textId="77777777" w:rsidR="00E306F2" w:rsidRDefault="00000000">
      <w:r>
        <w:rPr>
          <w:rStyle w:val="FootnoteReference"/>
        </w:rPr>
        <w:footnoteRef/>
      </w:r>
      <w:r>
        <w:t>Wong, Chi Heem, Kien Wei Siah, and Andrew W. Lo. "Estimation of clinical trial success rates and related parameters." Biostatistics 20.2 (2019): 273–286.</w:t>
      </w:r>
    </w:p>
  </w:footnote>
  <w:footnote w:id="9">
    <w:p w14:paraId="3CE802BA" w14:textId="77777777" w:rsidR="00E306F2" w:rsidRDefault="00000000">
      <w:r>
        <w:rPr>
          <w:rStyle w:val="FootnoteReference"/>
        </w:rPr>
        <w:footnoteRef/>
      </w:r>
      <w:r>
        <w:t>ClinicalTrials.gov results posting mandated under FDAAA 801 (2007, Final Rule effective 2017) for applicable clinical trials of FDA-regulated products.</w:t>
      </w:r>
    </w:p>
  </w:footnote>
  <w:footnote w:id="10">
    <w:p w14:paraId="2BBD63AD" w14:textId="77777777" w:rsidR="00E306F2" w:rsidRDefault="00000000">
      <w:r>
        <w:rPr>
          <w:rStyle w:val="FootnoteReference"/>
        </w:rPr>
        <w:footnoteRef/>
      </w:r>
      <w:r>
        <w:t>FAERS (FDA Adverse Event Reporting System): &gt;25 million reports. Publicly accessible via FDA.gov dashboard and quarterly data extracts.</w:t>
      </w:r>
    </w:p>
  </w:footnote>
  <w:footnote w:id="11">
    <w:p w14:paraId="1BA5AFFA" w14:textId="77777777" w:rsidR="00E306F2" w:rsidRDefault="00000000">
      <w:r>
        <w:rPr>
          <w:rStyle w:val="FootnoteReference"/>
        </w:rPr>
        <w:footnoteRef/>
      </w:r>
      <w:r>
        <w:t>Vioxx (</w:t>
      </w:r>
      <w:proofErr w:type="spellStart"/>
      <w:r>
        <w:t>rofecoxib</w:t>
      </w:r>
      <w:proofErr w:type="spellEnd"/>
      <w:r>
        <w:t xml:space="preserve">): approved 1999, withdrawn September 30, </w:t>
      </w:r>
      <w:proofErr w:type="gramStart"/>
      <w:r>
        <w:t>2004</w:t>
      </w:r>
      <w:proofErr w:type="gramEnd"/>
      <w:r>
        <w:t xml:space="preserve"> after </w:t>
      </w:r>
      <w:proofErr w:type="spellStart"/>
      <w:r>
        <w:t>APPROVe</w:t>
      </w:r>
      <w:proofErr w:type="spellEnd"/>
      <w:r>
        <w:t xml:space="preserve"> trial showed increased cardiovascular risk. Mechanism: selective COX-2 inhibition → prostacyclin suppression → prothrombotic imbalance.</w:t>
      </w:r>
    </w:p>
  </w:footnote>
  <w:footnote w:id="12">
    <w:p w14:paraId="3E5CD247" w14:textId="77777777" w:rsidR="00936CA2" w:rsidRDefault="00936CA2"/>
    <w:p w14:paraId="09FBBA13" w14:textId="77777777" w:rsidR="00000000" w:rsidRDefault="00000000"/>
  </w:footnote>
  <w:footnote w:id="13">
    <w:p w14:paraId="191E1AEF" w14:textId="77777777" w:rsidR="00E306F2" w:rsidRDefault="00000000">
      <w:r>
        <w:rPr>
          <w:rStyle w:val="FootnoteReference"/>
        </w:rPr>
        <w:footnoteRef/>
      </w:r>
      <w:r>
        <w:t>FDA Modernization Act 2.0, Public Law 117–328, signed December 29, 2022. Removes animal testing mandate and authorizes computational alternatives.</w:t>
      </w:r>
    </w:p>
  </w:footnote>
  <w:footnote w:id="14">
    <w:p w14:paraId="32FC06DC" w14:textId="77777777" w:rsidR="00E306F2" w:rsidRDefault="00000000">
      <w:r>
        <w:rPr>
          <w:rStyle w:val="FootnoteReference"/>
        </w:rPr>
        <w:footnoteRef/>
      </w:r>
      <w:r>
        <w:t>Unlearn.ai PROCOVA methodology: EMA-qualified for Phase 2/3 trials with continuous outcomes. FDA positive feedback for covariate-adjusted analyses. 10–30% sample size reductions demonstrated.</w:t>
      </w:r>
    </w:p>
  </w:footnote>
  <w:footnote w:id="15">
    <w:p w14:paraId="099FFD11" w14:textId="77777777" w:rsidR="00936CA2" w:rsidRDefault="00936CA2"/>
    <w:p w14:paraId="59BC322B" w14:textId="77777777" w:rsidR="00000000" w:rsidRDefault="00000000"/>
  </w:footnote>
  <w:footnote w:id="16">
    <w:p w14:paraId="23DD6FEB" w14:textId="77777777" w:rsidR="00E306F2" w:rsidRDefault="00000000">
      <w:r>
        <w:rPr>
          <w:rStyle w:val="FootnoteReference"/>
        </w:rPr>
        <w:footnoteRef/>
      </w:r>
      <w:r>
        <w:t>Broad Institute Drug Repurposing Hub: ~7,450 compounds, ~2,255 targets. Publicly accessible at clue.io/repurposing.</w:t>
      </w:r>
    </w:p>
  </w:footnote>
  <w:footnote w:id="17">
    <w:p w14:paraId="011B4B1D" w14:textId="77777777" w:rsidR="00936CA2" w:rsidRDefault="00936CA2"/>
    <w:p w14:paraId="0F1D489E" w14:textId="77777777" w:rsidR="00000000" w:rsidRDefault="00000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1F5D" w14:textId="77777777" w:rsidR="00E306F2" w:rsidRDefault="00000000">
    <w:pPr>
      <w:pBdr>
        <w:bottom w:val="single" w:sz="4" w:space="1" w:color="CCCCCC"/>
      </w:pBdr>
      <w:tabs>
        <w:tab w:val="right" w:pos="9026"/>
      </w:tabs>
    </w:pPr>
    <w:r>
      <w:rPr>
        <w:i/>
        <w:iCs/>
        <w:color w:val="999999"/>
        <w:sz w:val="18"/>
        <w:szCs w:val="18"/>
      </w:rPr>
      <w:t>The Failure Model Thesis</w:t>
    </w:r>
    <w:r>
      <w:rPr>
        <w:i/>
        <w:iCs/>
        <w:color w:val="999999"/>
        <w:sz w:val="18"/>
        <w:szCs w:val="18"/>
      </w:rPr>
      <w:tab/>
      <w:t>Ann Persson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5A8A"/>
    <w:multiLevelType w:val="hybridMultilevel"/>
    <w:tmpl w:val="6D106CB4"/>
    <w:lvl w:ilvl="0" w:tplc="B34AC08A">
      <w:start w:val="1"/>
      <w:numFmt w:val="decimal"/>
      <w:lvlText w:val="%1."/>
      <w:lvlJc w:val="left"/>
      <w:pPr>
        <w:ind w:left="720" w:hanging="360"/>
      </w:pPr>
    </w:lvl>
    <w:lvl w:ilvl="1" w:tplc="22BA9AD0">
      <w:numFmt w:val="decimal"/>
      <w:lvlText w:val=""/>
      <w:lvlJc w:val="left"/>
    </w:lvl>
    <w:lvl w:ilvl="2" w:tplc="ADF87D1A">
      <w:numFmt w:val="decimal"/>
      <w:lvlText w:val=""/>
      <w:lvlJc w:val="left"/>
    </w:lvl>
    <w:lvl w:ilvl="3" w:tplc="DF182FC4">
      <w:numFmt w:val="decimal"/>
      <w:lvlText w:val=""/>
      <w:lvlJc w:val="left"/>
    </w:lvl>
    <w:lvl w:ilvl="4" w:tplc="E8A49D76">
      <w:numFmt w:val="decimal"/>
      <w:lvlText w:val=""/>
      <w:lvlJc w:val="left"/>
    </w:lvl>
    <w:lvl w:ilvl="5" w:tplc="45F4247C">
      <w:numFmt w:val="decimal"/>
      <w:lvlText w:val=""/>
      <w:lvlJc w:val="left"/>
    </w:lvl>
    <w:lvl w:ilvl="6" w:tplc="16F05402">
      <w:numFmt w:val="decimal"/>
      <w:lvlText w:val=""/>
      <w:lvlJc w:val="left"/>
    </w:lvl>
    <w:lvl w:ilvl="7" w:tplc="5C4EACC2">
      <w:numFmt w:val="decimal"/>
      <w:lvlText w:val=""/>
      <w:lvlJc w:val="left"/>
    </w:lvl>
    <w:lvl w:ilvl="8" w:tplc="0EB485D0">
      <w:numFmt w:val="decimal"/>
      <w:lvlText w:val=""/>
      <w:lvlJc w:val="left"/>
    </w:lvl>
  </w:abstractNum>
  <w:abstractNum w:abstractNumId="1" w15:restartNumberingAfterBreak="0">
    <w:nsid w:val="31B6599F"/>
    <w:multiLevelType w:val="hybridMultilevel"/>
    <w:tmpl w:val="CA524C90"/>
    <w:lvl w:ilvl="0" w:tplc="C78AB0B8">
      <w:start w:val="1"/>
      <w:numFmt w:val="bullet"/>
      <w:lvlText w:val="•"/>
      <w:lvlJc w:val="left"/>
      <w:pPr>
        <w:ind w:left="720" w:hanging="360"/>
      </w:pPr>
    </w:lvl>
    <w:lvl w:ilvl="1" w:tplc="F2926E16">
      <w:numFmt w:val="decimal"/>
      <w:lvlText w:val=""/>
      <w:lvlJc w:val="left"/>
    </w:lvl>
    <w:lvl w:ilvl="2" w:tplc="A5C872A8">
      <w:numFmt w:val="decimal"/>
      <w:lvlText w:val=""/>
      <w:lvlJc w:val="left"/>
    </w:lvl>
    <w:lvl w:ilvl="3" w:tplc="239ED47E">
      <w:numFmt w:val="decimal"/>
      <w:lvlText w:val=""/>
      <w:lvlJc w:val="left"/>
    </w:lvl>
    <w:lvl w:ilvl="4" w:tplc="7ED89022">
      <w:numFmt w:val="decimal"/>
      <w:lvlText w:val=""/>
      <w:lvlJc w:val="left"/>
    </w:lvl>
    <w:lvl w:ilvl="5" w:tplc="EB1AF47E">
      <w:numFmt w:val="decimal"/>
      <w:lvlText w:val=""/>
      <w:lvlJc w:val="left"/>
    </w:lvl>
    <w:lvl w:ilvl="6" w:tplc="25B4F0C0">
      <w:numFmt w:val="decimal"/>
      <w:lvlText w:val=""/>
      <w:lvlJc w:val="left"/>
    </w:lvl>
    <w:lvl w:ilvl="7" w:tplc="9D02F890">
      <w:numFmt w:val="decimal"/>
      <w:lvlText w:val=""/>
      <w:lvlJc w:val="left"/>
    </w:lvl>
    <w:lvl w:ilvl="8" w:tplc="2D4E67BC">
      <w:numFmt w:val="decimal"/>
      <w:lvlText w:val=""/>
      <w:lvlJc w:val="left"/>
    </w:lvl>
  </w:abstractNum>
  <w:abstractNum w:abstractNumId="2" w15:restartNumberingAfterBreak="0">
    <w:nsid w:val="7413584D"/>
    <w:multiLevelType w:val="hybridMultilevel"/>
    <w:tmpl w:val="751626B4"/>
    <w:lvl w:ilvl="0" w:tplc="212E328A">
      <w:start w:val="1"/>
      <w:numFmt w:val="bullet"/>
      <w:lvlText w:val="●"/>
      <w:lvlJc w:val="left"/>
      <w:pPr>
        <w:ind w:left="720" w:hanging="360"/>
      </w:pPr>
    </w:lvl>
    <w:lvl w:ilvl="1" w:tplc="2E12CFDC">
      <w:start w:val="1"/>
      <w:numFmt w:val="bullet"/>
      <w:lvlText w:val="○"/>
      <w:lvlJc w:val="left"/>
      <w:pPr>
        <w:ind w:left="1440" w:hanging="360"/>
      </w:pPr>
    </w:lvl>
    <w:lvl w:ilvl="2" w:tplc="D9D2E346">
      <w:start w:val="1"/>
      <w:numFmt w:val="bullet"/>
      <w:lvlText w:val="■"/>
      <w:lvlJc w:val="left"/>
      <w:pPr>
        <w:ind w:left="2160" w:hanging="360"/>
      </w:pPr>
    </w:lvl>
    <w:lvl w:ilvl="3" w:tplc="935818FA">
      <w:start w:val="1"/>
      <w:numFmt w:val="bullet"/>
      <w:lvlText w:val="●"/>
      <w:lvlJc w:val="left"/>
      <w:pPr>
        <w:ind w:left="2880" w:hanging="360"/>
      </w:pPr>
    </w:lvl>
    <w:lvl w:ilvl="4" w:tplc="ADFC0840">
      <w:start w:val="1"/>
      <w:numFmt w:val="bullet"/>
      <w:lvlText w:val="○"/>
      <w:lvlJc w:val="left"/>
      <w:pPr>
        <w:ind w:left="3600" w:hanging="360"/>
      </w:pPr>
    </w:lvl>
    <w:lvl w:ilvl="5" w:tplc="03E6C7E0">
      <w:start w:val="1"/>
      <w:numFmt w:val="bullet"/>
      <w:lvlText w:val="■"/>
      <w:lvlJc w:val="left"/>
      <w:pPr>
        <w:ind w:left="4320" w:hanging="360"/>
      </w:pPr>
    </w:lvl>
    <w:lvl w:ilvl="6" w:tplc="7304FCA8">
      <w:start w:val="1"/>
      <w:numFmt w:val="bullet"/>
      <w:lvlText w:val="●"/>
      <w:lvlJc w:val="left"/>
      <w:pPr>
        <w:ind w:left="5040" w:hanging="360"/>
      </w:pPr>
    </w:lvl>
    <w:lvl w:ilvl="7" w:tplc="8168DBDC">
      <w:start w:val="1"/>
      <w:numFmt w:val="bullet"/>
      <w:lvlText w:val="●"/>
      <w:lvlJc w:val="left"/>
      <w:pPr>
        <w:ind w:left="5760" w:hanging="360"/>
      </w:pPr>
    </w:lvl>
    <w:lvl w:ilvl="8" w:tplc="15B64372">
      <w:start w:val="1"/>
      <w:numFmt w:val="bullet"/>
      <w:lvlText w:val="●"/>
      <w:lvlJc w:val="left"/>
      <w:pPr>
        <w:ind w:left="6480" w:hanging="360"/>
      </w:pPr>
    </w:lvl>
  </w:abstractNum>
  <w:num w:numId="1" w16cid:durableId="965113775">
    <w:abstractNumId w:val="2"/>
    <w:lvlOverride w:ilvl="0">
      <w:startOverride w:val="1"/>
    </w:lvlOverride>
  </w:num>
  <w:num w:numId="2" w16cid:durableId="1199969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6F2"/>
    <w:rsid w:val="00401C36"/>
    <w:rsid w:val="005A4F7F"/>
    <w:rsid w:val="00936CA2"/>
    <w:rsid w:val="00A27E75"/>
    <w:rsid w:val="00E30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406F"/>
  <w15:docId w15:val="{AEE47F7B-237F-48B0-B0BE-EB25CD73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28"/>
      <w:szCs w:val="28"/>
    </w:rPr>
  </w:style>
  <w:style w:type="paragraph" w:styleId="Heading2">
    <w:name w:val="heading 2"/>
    <w:uiPriority w:val="9"/>
    <w:unhideWhenUsed/>
    <w:qFormat/>
    <w:pPr>
      <w:spacing w:before="280" w:after="16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3841</Words>
  <Characters>22397</Characters>
  <Application>Microsoft Office Word</Application>
  <DocSecurity>0</DocSecurity>
  <Lines>373</Lines>
  <Paragraphs>119</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2026-04-12T22:48:00Z</dcterms:created>
  <dcterms:modified xsi:type="dcterms:W3CDTF">2026-04-12T23:17:00Z</dcterms:modified>
</cp:coreProperties>
</file>