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61B1B"/>
          <w:spacing w:val="60"/>
          <w:sz w:val="16"/>
          <w:szCs w:val="16"/>
        </w:rPr>
        <w:t xml:space="preserve">VERIFICATION PROTOCOL · INVESTMENT FACT-CHECK</w:t>
      </w:r>
    </w:p>
    <w:p>
      <w:pPr>
        <w:spacing w:after="40"/>
      </w:pPr>
      <w:r>
        <w:rPr>
          <w:rFonts w:ascii="Cambria" w:cs="Cambria" w:eastAsia="Cambria" w:hAnsi="Cambria"/>
          <w:b/>
          <w:bCs/>
          <w:sz w:val="44"/>
          <w:szCs w:val="44"/>
        </w:rPr>
        <w:t xml:space="preserve">Medpace Reality Check + IQVIA AI Comparison</w:t>
      </w:r>
    </w:p>
    <w:p>
      <w:pPr>
        <w:spacing w:after="220"/>
      </w:pPr>
      <w:r>
        <w:rPr>
          <w:rFonts w:ascii="Cambria" w:cs="Cambria" w:eastAsia="Cambria" w:hAnsi="Cambria"/>
          <w:i/>
          <w:iCs/>
          <w:color w:val="444444"/>
          <w:sz w:val="22"/>
          <w:szCs w:val="22"/>
        </w:rPr>
        <w:t xml:space="preserve">Senior fact-checker review · web-search verified · prepared 19 April 2026</w:t>
      </w:r>
    </w:p>
    <w:p>
      <w:pPr>
        <w:pBdr>
          <w:bottom w:val="double" w:color="111111" w:sz="12" w:space="6"/>
        </w:pBdr>
        <w:spacing w:after="320"/>
      </w:pPr>
      <w:r>
        <w:rPr>
          <w:rFonts w:ascii="Cambria" w:cs="Cambria" w:eastAsia="Cambria" w:hAnsi="Cambria"/>
          <w:sz w:val="22"/>
          <w:szCs w:val="22"/>
        </w:rPr>
        <w:t xml:space="preserve"/>
      </w:r>
    </w:p>
    <w:p>
      <w:pPr>
        <w:spacing w:after="160" w:line="320"/>
      </w:pPr>
      <w:r>
        <w:rPr>
          <w:rFonts w:ascii="Cambria" w:cs="Cambria" w:eastAsia="Cambria" w:hAnsi="Cambria"/>
          <w:sz w:val="24"/>
          <w:szCs w:val="24"/>
        </w:rPr>
        <w:t xml:space="preserve">Scope: reviewed two deliverables — the Medpace Q4 2025 reality-check memo/HTML and the Medpace-vs-IQVIA AI companion note — against independently searched sources. Verified material claims. Flagged errors. Confirmed spot-checks. Recommended adjustments below.</w:t>
      </w:r>
    </w:p>
    <w:p>
      <w:pPr>
        <w:pBdr>
          <w:bottom w:val="single" w:color="888888" w:sz="6" w:space="2"/>
        </w:pBdr>
        <w:spacing w:after="160" w:before="360"/>
      </w:pPr>
      <w:r>
        <w:rPr>
          <w:rFonts w:ascii="Calibri" w:cs="Calibri" w:eastAsia="Calibri" w:hAnsi="Calibri"/>
          <w:b/>
          <w:bCs/>
          <w:spacing w:val="30"/>
          <w:sz w:val="20"/>
          <w:szCs w:val="20"/>
        </w:rPr>
        <w:t xml:space="preserve">SECTION 1 · CRITICAL ISSUES (VERIFIED ERRORS)</w:t>
      </w:r>
    </w:p>
    <w:p>
      <w:pPr>
        <w:spacing w:after="80" w:before="260"/>
      </w:pPr>
      <w:r>
        <w:rPr>
          <w:rFonts w:ascii="Calibri" w:cs="Calibri" w:eastAsia="Calibri" w:hAnsi="Calibri"/>
          <w:b/>
          <w:bCs/>
          <w:color w:val="A61B1B"/>
          <w:sz w:val="18"/>
          <w:szCs w:val="18"/>
        </w:rPr>
        <w:t xml:space="preserve">ERROR 01  </w:t>
      </w:r>
      <w:r>
        <w:rPr>
          <w:rFonts w:ascii="Calibri" w:cs="Calibri" w:eastAsia="Calibri" w:hAnsi="Calibri"/>
          <w:b/>
          <w:bCs/>
          <w:sz w:val="20"/>
          <w:szCs w:val="20"/>
        </w:rPr>
        <w:t xml:space="preserve">Q4 2025 book-to-bill was 1.04x, not 1.28x</w:t>
      </w:r>
    </w:p>
    <w:p>
      <w:pPr>
        <w:spacing w:after="60" w:line="280"/>
      </w:pPr>
      <w:r>
        <w:rPr>
          <w:rFonts w:ascii="Calibri" w:cs="Calibri" w:eastAsia="Calibri" w:hAnsi="Calibri"/>
          <w:b/>
          <w:bCs/>
          <w:color w:val="333333"/>
          <w:sz w:val="16"/>
          <w:szCs w:val="16"/>
        </w:rPr>
        <w:t xml:space="preserve">Claim in memo:  </w:t>
      </w:r>
      <w:r>
        <w:rPr>
          <w:rFonts w:ascii="Cambria" w:cs="Cambria" w:eastAsia="Cambria" w:hAnsi="Cambria"/>
          <w:sz w:val="22"/>
          <w:szCs w:val="22"/>
        </w:rPr>
        <w:t xml:space="preserve">"Book-to-bill: 0.90x (1Q), 1.03x (2Q), 1.13x (3Q), 1.28x (4Q). Weighted average ~1.10x."</w:t>
      </w:r>
    </w:p>
    <w:p>
      <w:pPr>
        <w:spacing w:after="60" w:line="280"/>
      </w:pPr>
      <w:r>
        <w:rPr>
          <w:rFonts w:ascii="Calibri" w:cs="Calibri" w:eastAsia="Calibri" w:hAnsi="Calibri"/>
          <w:b/>
          <w:bCs/>
          <w:color w:val="b57f10"/>
          <w:sz w:val="16"/>
          <w:szCs w:val="16"/>
        </w:rPr>
        <w:t xml:space="preserve">Actual fact:  </w:t>
      </w:r>
      <w:r>
        <w:rPr>
          <w:rFonts w:ascii="Cambria" w:cs="Cambria" w:eastAsia="Cambria" w:hAnsi="Cambria"/>
          <w:sz w:val="22"/>
          <w:szCs w:val="22"/>
        </w:rPr>
        <w:t xml:space="preserve">Medpace reported Q4 2025 net new business awards of $736.6M, yielding a net book-to-bill of 1.04x, not 1.28x. Management specifically called out that cancellations were the highest in over a year, concentrated in metabolic therapeutic trials.</w:t>
      </w:r>
    </w:p>
    <w:p>
      <w:pPr>
        <w:spacing w:after="60" w:line="280"/>
      </w:pPr>
      <w:r>
        <w:rPr>
          <w:rFonts w:ascii="Calibri" w:cs="Calibri" w:eastAsia="Calibri" w:hAnsi="Calibri"/>
          <w:b/>
          <w:bCs/>
          <w:color w:val="333333"/>
          <w:sz w:val="16"/>
          <w:szCs w:val="16"/>
        </w:rPr>
        <w:t xml:space="preserve">Source:  </w:t>
      </w:r>
      <w:r>
        <w:rPr>
          <w:rFonts w:ascii="Cambria" w:cs="Cambria" w:eastAsia="Cambria" w:hAnsi="Cambria"/>
          <w:sz w:val="22"/>
          <w:szCs w:val="22"/>
        </w:rPr>
        <w:t xml:space="preserve">Medpace 4Q25 earnings call; Seeking Alpha / Investing.com transcripts (Feb 9–10, 2026).</w:t>
      </w:r>
    </w:p>
    <w:p>
      <w:pPr>
        <w:spacing w:after="60" w:line="280"/>
      </w:pPr>
      <w:r>
        <w:rPr>
          <w:rFonts w:ascii="Calibri" w:cs="Calibri" w:eastAsia="Calibri" w:hAnsi="Calibri"/>
          <w:b/>
          <w:bCs/>
          <w:color w:val="A61B1B"/>
          <w:sz w:val="16"/>
          <w:szCs w:val="16"/>
        </w:rPr>
        <w:t xml:space="preserve">Investment impact:  </w:t>
      </w:r>
      <w:r>
        <w:rPr>
          <w:rFonts w:ascii="Cambria" w:cs="Cambria" w:eastAsia="Cambria" w:hAnsi="Cambria"/>
          <w:sz w:val="22"/>
          <w:szCs w:val="22"/>
        </w:rPr>
        <w:t xml:space="preserve">MATERIAL. The memo understated the severity of the demand softness. A 1.04x Q4 — versus a claimed 1.28x — means full-year net new business was ~$2.1B, not ~$2.33B, against $2.53B of revenue. That is a more negative read. Post-deck, a securities class-action investigation was launched specifically over the book-to-bill miss and cancellation disclosure, which corroborates the thesis but needs to be incorporated.</w:t>
      </w:r>
    </w:p>
    <w:p>
      <w:pPr>
        <w:spacing w:after="80" w:before="260"/>
      </w:pPr>
      <w:r>
        <w:rPr>
          <w:rFonts w:ascii="Calibri" w:cs="Calibri" w:eastAsia="Calibri" w:hAnsi="Calibri"/>
          <w:b/>
          <w:bCs/>
          <w:color w:val="A61B1B"/>
          <w:sz w:val="18"/>
          <w:szCs w:val="18"/>
        </w:rPr>
        <w:t xml:space="preserve">ERROR 02  </w:t>
      </w:r>
      <w:r>
        <w:rPr>
          <w:rFonts w:ascii="Calibri" w:cs="Calibri" w:eastAsia="Calibri" w:hAnsi="Calibri"/>
          <w:b/>
          <w:bCs/>
          <w:sz w:val="20"/>
          <w:szCs w:val="20"/>
        </w:rPr>
        <w:t xml:space="preserve">Q4 EPS growth rate overstated (+67% vs actual +27%)</w:t>
      </w:r>
    </w:p>
    <w:p>
      <w:pPr>
        <w:spacing w:after="60" w:line="280"/>
      </w:pPr>
      <w:r>
        <w:rPr>
          <w:rFonts w:ascii="Calibri" w:cs="Calibri" w:eastAsia="Calibri" w:hAnsi="Calibri"/>
          <w:b/>
          <w:bCs/>
          <w:color w:val="333333"/>
          <w:sz w:val="16"/>
          <w:szCs w:val="16"/>
        </w:rPr>
        <w:t xml:space="preserve">Claim in memo:  </w:t>
      </w:r>
      <w:r>
        <w:rPr>
          <w:rFonts w:ascii="Cambria" w:cs="Cambria" w:eastAsia="Cambria" w:hAnsi="Cambria"/>
          <w:sz w:val="22"/>
          <w:szCs w:val="22"/>
        </w:rPr>
        <w:t xml:space="preserve">"revenue +32%, EPS +67%" in the Bottom Line and HTML companion.</w:t>
      </w:r>
    </w:p>
    <w:p>
      <w:pPr>
        <w:spacing w:after="60" w:line="280"/>
      </w:pPr>
      <w:r>
        <w:rPr>
          <w:rFonts w:ascii="Calibri" w:cs="Calibri" w:eastAsia="Calibri" w:hAnsi="Calibri"/>
          <w:b/>
          <w:bCs/>
          <w:color w:val="b57f10"/>
          <w:sz w:val="16"/>
          <w:szCs w:val="16"/>
        </w:rPr>
        <w:t xml:space="preserve">Actual fact:  </w:t>
      </w:r>
      <w:r>
        <w:rPr>
          <w:rFonts w:ascii="Cambria" w:cs="Cambria" w:eastAsia="Cambria" w:hAnsi="Cambria"/>
          <w:sz w:val="22"/>
          <w:szCs w:val="22"/>
        </w:rPr>
        <w:t xml:space="preserve">Q4 2025 GAAP net income was $135.1M, or $4.67 per diluted share, versus $117.0M, or $3.67 per diluted share, in Q4 2024. That is +27.2% GAAP EPS growth, not +67%. The +67% figure may have been adjusted EPS, but is not consistent with GAAP figures in the release.</w:t>
      </w:r>
    </w:p>
    <w:p>
      <w:pPr>
        <w:spacing w:after="60" w:line="280"/>
      </w:pPr>
      <w:r>
        <w:rPr>
          <w:rFonts w:ascii="Calibri" w:cs="Calibri" w:eastAsia="Calibri" w:hAnsi="Calibri"/>
          <w:b/>
          <w:bCs/>
          <w:color w:val="333333"/>
          <w:sz w:val="16"/>
          <w:szCs w:val="16"/>
        </w:rPr>
        <w:t xml:space="preserve">Source:  </w:t>
      </w:r>
      <w:r>
        <w:rPr>
          <w:rFonts w:ascii="Cambria" w:cs="Cambria" w:eastAsia="Cambria" w:hAnsi="Cambria"/>
          <w:sz w:val="22"/>
          <w:szCs w:val="22"/>
        </w:rPr>
        <w:t xml:space="preserve">Medpace 4Q25 earnings press release (businesswire.com; investor.medpace.com).</w:t>
      </w:r>
    </w:p>
    <w:p>
      <w:pPr>
        <w:spacing w:after="60" w:line="280"/>
      </w:pPr>
      <w:r>
        <w:rPr>
          <w:rFonts w:ascii="Calibri" w:cs="Calibri" w:eastAsia="Calibri" w:hAnsi="Calibri"/>
          <w:b/>
          <w:bCs/>
          <w:color w:val="A61B1B"/>
          <w:sz w:val="16"/>
          <w:szCs w:val="16"/>
        </w:rPr>
        <w:t xml:space="preserve">Investment impact:  </w:t>
      </w:r>
      <w:r>
        <w:rPr>
          <w:rFonts w:ascii="Cambria" w:cs="Cambria" w:eastAsia="Cambria" w:hAnsi="Cambria"/>
          <w:sz w:val="22"/>
          <w:szCs w:val="22"/>
        </w:rPr>
        <w:t xml:space="preserve">MATERIAL. EPS growth of +27% is still strong but dramatically different from +67%. The buyback-driven EPS tailwind is smaller than implied. Net-net, the directional thesis (buybacks are doing some of the EPS lifting) still holds, but the magnitude is overstated.</w:t>
      </w:r>
    </w:p>
    <w:p>
      <w:pPr>
        <w:spacing w:after="80" w:before="260"/>
      </w:pPr>
      <w:r>
        <w:rPr>
          <w:rFonts w:ascii="Calibri" w:cs="Calibri" w:eastAsia="Calibri" w:hAnsi="Calibri"/>
          <w:b/>
          <w:bCs/>
          <w:color w:val="A61B1B"/>
          <w:sz w:val="18"/>
          <w:szCs w:val="18"/>
        </w:rPr>
        <w:t xml:space="preserve">ERROR 03  </w:t>
      </w:r>
      <w:r>
        <w:rPr>
          <w:rFonts w:ascii="Calibri" w:cs="Calibri" w:eastAsia="Calibri" w:hAnsi="Calibri"/>
          <w:b/>
          <w:bCs/>
          <w:sz w:val="20"/>
          <w:szCs w:val="20"/>
        </w:rPr>
        <w:t xml:space="preserve">IQVIA FY25 revenue stated as ~$15B; actual $16.31B</w:t>
      </w:r>
    </w:p>
    <w:p>
      <w:pPr>
        <w:spacing w:after="60" w:line="280"/>
      </w:pPr>
      <w:r>
        <w:rPr>
          <w:rFonts w:ascii="Calibri" w:cs="Calibri" w:eastAsia="Calibri" w:hAnsi="Calibri"/>
          <w:b/>
          <w:bCs/>
          <w:color w:val="333333"/>
          <w:sz w:val="16"/>
          <w:szCs w:val="16"/>
        </w:rPr>
        <w:t xml:space="preserve">Claim in AI-note comparison table:  </w:t>
      </w:r>
      <w:r>
        <w:rPr>
          <w:rFonts w:ascii="Cambria" w:cs="Cambria" w:eastAsia="Cambria" w:hAnsi="Cambria"/>
          <w:sz w:val="22"/>
          <w:szCs w:val="22"/>
        </w:rPr>
        <w:t xml:space="preserve">"IQVIA: ~$15B revenue; ~89,000 employees."</w:t>
      </w:r>
    </w:p>
    <w:p>
      <w:pPr>
        <w:spacing w:after="60" w:line="280"/>
      </w:pPr>
      <w:r>
        <w:rPr>
          <w:rFonts w:ascii="Calibri" w:cs="Calibri" w:eastAsia="Calibri" w:hAnsi="Calibri"/>
          <w:b/>
          <w:bCs/>
          <w:color w:val="b57f10"/>
          <w:sz w:val="16"/>
          <w:szCs w:val="16"/>
        </w:rPr>
        <w:t xml:space="preserve">Actual fact:  </w:t>
      </w:r>
      <w:r>
        <w:rPr>
          <w:rFonts w:ascii="Cambria" w:cs="Cambria" w:eastAsia="Cambria" w:hAnsi="Cambria"/>
          <w:sz w:val="22"/>
          <w:szCs w:val="22"/>
        </w:rPr>
        <w:t xml:space="preserve">IQVIA reported FY25 revenue of $16,310M (+5.9% reported; +4.8% CC), exceeding its own guidance range of $15,725–$16,125M.</w:t>
      </w:r>
    </w:p>
    <w:p>
      <w:pPr>
        <w:spacing w:after="60" w:line="280"/>
      </w:pPr>
      <w:r>
        <w:rPr>
          <w:rFonts w:ascii="Calibri" w:cs="Calibri" w:eastAsia="Calibri" w:hAnsi="Calibri"/>
          <w:b/>
          <w:bCs/>
          <w:color w:val="333333"/>
          <w:sz w:val="16"/>
          <w:szCs w:val="16"/>
        </w:rPr>
        <w:t xml:space="preserve">Source:  </w:t>
      </w:r>
      <w:r>
        <w:rPr>
          <w:rFonts w:ascii="Cambria" w:cs="Cambria" w:eastAsia="Cambria" w:hAnsi="Cambria"/>
          <w:sz w:val="22"/>
          <w:szCs w:val="22"/>
        </w:rPr>
        <w:t xml:space="preserve">IQVIA FY2025 earnings press release (ir.iqvia.com, Feb 2026).</w:t>
      </w:r>
    </w:p>
    <w:p>
      <w:pPr>
        <w:spacing w:after="60" w:line="280"/>
      </w:pPr>
      <w:r>
        <w:rPr>
          <w:rFonts w:ascii="Calibri" w:cs="Calibri" w:eastAsia="Calibri" w:hAnsi="Calibri"/>
          <w:b/>
          <w:bCs/>
          <w:color w:val="A61B1B"/>
          <w:sz w:val="16"/>
          <w:szCs w:val="16"/>
        </w:rPr>
        <w:t xml:space="preserve">Investment impact:  </w:t>
      </w:r>
      <w:r>
        <w:rPr>
          <w:rFonts w:ascii="Cambria" w:cs="Cambria" w:eastAsia="Cambria" w:hAnsi="Cambria"/>
          <w:sz w:val="22"/>
          <w:szCs w:val="22"/>
        </w:rPr>
        <w:t xml:space="preserve">MODERATE. Does not change the direction of the comparison (IQVIA is still roughly 6–7x Medpace's size). But the scale gap is slightly wider than stated, which strengthens, not weakens, the argument that IQVIA's data-moat advantages are more material.</w:t>
      </w:r>
    </w:p>
    <w:p>
      <w:pPr>
        <w:pBdr>
          <w:bottom w:val="single" w:color="888888" w:sz="6" w:space="2"/>
        </w:pBdr>
        <w:spacing w:after="160" w:before="360"/>
      </w:pPr>
      <w:r>
        <w:rPr>
          <w:rFonts w:ascii="Calibri" w:cs="Calibri" w:eastAsia="Calibri" w:hAnsi="Calibri"/>
          <w:b/>
          <w:bCs/>
          <w:spacing w:val="30"/>
          <w:sz w:val="20"/>
          <w:szCs w:val="20"/>
        </w:rPr>
        <w:t xml:space="preserve">SECTION 2 · UNVERIFIABLE / MEDIUM-RISK CLAIMS</w:t>
      </w:r>
    </w:p>
    <w:p>
      <w:pPr>
        <w:pStyle w:val="ListParagraph"/>
        <w:numPr>
          <w:ilvl w:val="0"/>
          <w:numId w:val="2"/>
        </w:numPr>
        <w:spacing w:after="60" w:line="300"/>
      </w:pPr>
      <w:r>
        <w:rPr>
          <w:rFonts w:ascii="Cambria" w:cs="Cambria" w:eastAsia="Cambria" w:hAnsi="Cambria"/>
          <w:sz w:val="22"/>
          <w:szCs w:val="22"/>
        </w:rPr>
        <w:t xml:space="preserve">Backlog conversion rate progression 18.3% → 23.6%: The 23.6% Q4 figure is CONFIRMED. The 18.3% starting-point (1Q25) could not be independently re-verified outside the deck itself. Resolves in: 10-K backlog roll-forward table.</w:t>
      </w:r>
    </w:p>
    <w:p>
      <w:pPr>
        <w:pStyle w:val="ListParagraph"/>
        <w:numPr>
          <w:ilvl w:val="0"/>
          <w:numId w:val="2"/>
        </w:numPr>
        <w:spacing w:after="60" w:line="300"/>
      </w:pPr>
      <w:r>
        <w:rPr>
          <w:rFonts w:ascii="Cambria" w:cs="Cambria" w:eastAsia="Cambria" w:hAnsi="Cambria"/>
          <w:sz w:val="22"/>
          <w:szCs w:val="22"/>
        </w:rPr>
        <w:t xml:space="preserve">Quarterly book-to-bill progression across 1Q–3Q25: The 1.04x for Q4 is CONFIRMED. Earlier-quarter values used in the memo (0.90x, 1.03x, 1.13x) were deck-sourced and not re-verified against each quarterly release. Resolves in: 10-Q filings for Q1–Q3 2025.</w:t>
      </w:r>
    </w:p>
    <w:p>
      <w:pPr>
        <w:pStyle w:val="ListParagraph"/>
        <w:numPr>
          <w:ilvl w:val="0"/>
          <w:numId w:val="2"/>
        </w:numPr>
        <w:spacing w:after="60" w:line="300"/>
      </w:pPr>
      <w:r>
        <w:rPr>
          <w:rFonts w:ascii="Cambria" w:cs="Cambria" w:eastAsia="Cambria" w:hAnsi="Cambria"/>
          <w:sz w:val="22"/>
          <w:szCs w:val="22"/>
        </w:rPr>
        <w:t xml:space="preserve">Reimbursed OOP Q4 +68.3% ($319.7M → $537.8M): This specific figure is deck-sourced; it could not be re-verified via secondary press coverage, which tends to cite the blended revenue figure. Resolves in: 10-K Item 7 / MD&amp;A segment detail.</w:t>
      </w:r>
    </w:p>
    <w:p>
      <w:pPr>
        <w:pStyle w:val="ListParagraph"/>
        <w:numPr>
          <w:ilvl w:val="0"/>
          <w:numId w:val="2"/>
        </w:numPr>
        <w:spacing w:after="60" w:line="300"/>
      </w:pPr>
      <w:r>
        <w:rPr>
          <w:rFonts w:ascii="Cambria" w:cs="Cambria" w:eastAsia="Cambria" w:hAnsi="Cambria"/>
          <w:sz w:val="22"/>
          <w:szCs w:val="22"/>
        </w:rPr>
        <w:t xml:space="preserve">Top-10 customer concentration 29% → 35%: Deck-sourced; generally consistent with CRO industry patterns but not independently confirmed. Resolves in: 10-K risk-factor and customer-concentration disclosure.</w:t>
      </w:r>
    </w:p>
    <w:p>
      <w:pPr>
        <w:pStyle w:val="ListParagraph"/>
        <w:numPr>
          <w:ilvl w:val="0"/>
          <w:numId w:val="2"/>
        </w:numPr>
        <w:spacing w:after="60" w:line="300"/>
      </w:pPr>
      <w:r>
        <w:rPr>
          <w:rFonts w:ascii="Cambria" w:cs="Cambria" w:eastAsia="Cambria" w:hAnsi="Cambria"/>
          <w:sz w:val="22"/>
          <w:szCs w:val="22"/>
        </w:rPr>
        <w:t xml:space="preserve">Medpace 4Q25 EPS +67%: Possibly adjusted-EPS rather than GAAP, but the deck did not label it clearly. Resolves in: 4Q25 8-K adjusted-metrics reconciliation table.</w:t>
      </w:r>
    </w:p>
    <w:p>
      <w:pPr>
        <w:pBdr>
          <w:bottom w:val="single" w:color="888888" w:sz="6" w:space="2"/>
        </w:pBdr>
        <w:spacing w:after="160" w:before="360"/>
      </w:pPr>
      <w:r>
        <w:rPr>
          <w:rFonts w:ascii="Calibri" w:cs="Calibri" w:eastAsia="Calibri" w:hAnsi="Calibri"/>
          <w:b/>
          <w:bCs/>
          <w:spacing w:val="30"/>
          <w:sz w:val="20"/>
          <w:szCs w:val="20"/>
        </w:rPr>
        <w:t xml:space="preserve">SECTION 3 · VERIFIED ACCURATE (SPOT-CHECK)</w:t>
      </w:r>
    </w:p>
    <w:p>
      <w:pPr>
        <w:pStyle w:val="ListParagraph"/>
        <w:numPr>
          <w:ilvl w:val="0"/>
          <w:numId w:val="2"/>
        </w:numPr>
        <w:spacing w:after="60" w:line="300"/>
      </w:pPr>
      <w:r>
        <w:rPr>
          <w:rFonts w:ascii="Cambria" w:cs="Cambria" w:eastAsia="Cambria" w:hAnsi="Cambria"/>
          <w:sz w:val="22"/>
          <w:szCs w:val="22"/>
        </w:rPr>
        <w:t xml:space="preserve">Q4 2025 revenue $708.5M, +32% YoY — CONFIRMED (BusinessWire; StockTitan).</w:t>
      </w:r>
    </w:p>
    <w:p>
      <w:pPr>
        <w:pStyle w:val="ListParagraph"/>
        <w:numPr>
          <w:ilvl w:val="0"/>
          <w:numId w:val="2"/>
        </w:numPr>
        <w:spacing w:after="60" w:line="300"/>
      </w:pPr>
      <w:r>
        <w:rPr>
          <w:rFonts w:ascii="Cambria" w:cs="Cambria" w:eastAsia="Cambria" w:hAnsi="Cambria"/>
          <w:sz w:val="22"/>
          <w:szCs w:val="22"/>
        </w:rPr>
        <w:t xml:space="preserve">Full-year 2025 revenue $2,530.2M, +20.0% — CONFIRMED (Medpace 4Q25 press release).</w:t>
      </w:r>
    </w:p>
    <w:p>
      <w:pPr>
        <w:pStyle w:val="ListParagraph"/>
        <w:numPr>
          <w:ilvl w:val="0"/>
          <w:numId w:val="2"/>
        </w:numPr>
        <w:spacing w:after="60" w:line="300"/>
      </w:pPr>
      <w:r>
        <w:rPr>
          <w:rFonts w:ascii="Cambria" w:cs="Cambria" w:eastAsia="Cambria" w:hAnsi="Cambria"/>
          <w:sz w:val="22"/>
          <w:szCs w:val="22"/>
        </w:rPr>
        <w:t xml:space="preserve">Q4 EBITDA margin 22.6% vs 24.9% prior year; FY EBITDA margin 22.0% vs 22.8% — CONFIRMED (Medpace press release).</w:t>
      </w:r>
    </w:p>
    <w:p>
      <w:pPr>
        <w:pStyle w:val="ListParagraph"/>
        <w:numPr>
          <w:ilvl w:val="0"/>
          <w:numId w:val="2"/>
        </w:numPr>
        <w:spacing w:after="60" w:line="300"/>
      </w:pPr>
      <w:r>
        <w:rPr>
          <w:rFonts w:ascii="Cambria" w:cs="Cambria" w:eastAsia="Cambria" w:hAnsi="Cambria"/>
          <w:sz w:val="22"/>
          <w:szCs w:val="22"/>
        </w:rPr>
        <w:t xml:space="preserve">2026 revenue guidance $2,755M–$2,855M — CONFIRMED EXACTLY (multiple sources; Medpace 4Q25 release).</w:t>
      </w:r>
    </w:p>
    <w:p>
      <w:pPr>
        <w:pStyle w:val="ListParagraph"/>
        <w:numPr>
          <w:ilvl w:val="0"/>
          <w:numId w:val="2"/>
        </w:numPr>
        <w:spacing w:after="60" w:line="300"/>
      </w:pPr>
      <w:r>
        <w:rPr>
          <w:rFonts w:ascii="Cambria" w:cs="Cambria" w:eastAsia="Cambria" w:hAnsi="Cambria"/>
          <w:sz w:val="22"/>
          <w:szCs w:val="22"/>
        </w:rPr>
        <w:t xml:space="preserve">2026 EBITDA guidance $605M–$635M — CONFIRMED (Medpace 4Q25 release).</w:t>
      </w:r>
    </w:p>
    <w:p>
      <w:pPr>
        <w:pStyle w:val="ListParagraph"/>
        <w:numPr>
          <w:ilvl w:val="0"/>
          <w:numId w:val="2"/>
        </w:numPr>
        <w:spacing w:after="60" w:line="300"/>
      </w:pPr>
      <w:r>
        <w:rPr>
          <w:rFonts w:ascii="Cambria" w:cs="Cambria" w:eastAsia="Cambria" w:hAnsi="Cambria"/>
          <w:sz w:val="22"/>
          <w:szCs w:val="22"/>
        </w:rPr>
        <w:t xml:space="preserve">Buybacks $912.9M for 2,961,924 shares in 2025 — CONFIRMED EXACTLY (Medpace 4Q25 release).</w:t>
      </w:r>
    </w:p>
    <w:p>
      <w:pPr>
        <w:pStyle w:val="ListParagraph"/>
        <w:numPr>
          <w:ilvl w:val="0"/>
          <w:numId w:val="2"/>
        </w:numPr>
        <w:spacing w:after="60" w:line="300"/>
      </w:pPr>
      <w:r>
        <w:rPr>
          <w:rFonts w:ascii="Cambria" w:cs="Cambria" w:eastAsia="Cambria" w:hAnsi="Cambria"/>
          <w:sz w:val="22"/>
          <w:szCs w:val="22"/>
        </w:rPr>
        <w:t xml:space="preserve">Ending cash $497.0M — CONFIRMED (beginning $669.4M, not the $671M I wrote; immaterial rounding error).</w:t>
      </w:r>
    </w:p>
    <w:p>
      <w:pPr>
        <w:pStyle w:val="ListParagraph"/>
        <w:numPr>
          <w:ilvl w:val="0"/>
          <w:numId w:val="2"/>
        </w:numPr>
        <w:spacing w:after="60" w:line="300"/>
      </w:pPr>
      <w:r>
        <w:rPr>
          <w:rFonts w:ascii="Cambria" w:cs="Cambria" w:eastAsia="Cambria" w:hAnsi="Cambria"/>
          <w:sz w:val="22"/>
          <w:szCs w:val="22"/>
        </w:rPr>
        <w:t xml:space="preserve">Backlog $3.0B at YE25 (+4.3% YoY) — CONFIRMED (Medpace 4Q25 release).</w:t>
      </w:r>
    </w:p>
    <w:p>
      <w:pPr>
        <w:pStyle w:val="ListParagraph"/>
        <w:numPr>
          <w:ilvl w:val="0"/>
          <w:numId w:val="2"/>
        </w:numPr>
        <w:spacing w:after="60" w:line="300"/>
      </w:pPr>
      <w:r>
        <w:rPr>
          <w:rFonts w:ascii="Cambria" w:cs="Cambria" w:eastAsia="Cambria" w:hAnsi="Cambria"/>
          <w:sz w:val="22"/>
          <w:szCs w:val="22"/>
        </w:rPr>
        <w:t xml:space="preserve">NTM backlog-to-revenue ~$1.9B — CONFIRMED (Medpace 4Q25 release).</w:t>
      </w:r>
    </w:p>
    <w:p>
      <w:pPr>
        <w:pStyle w:val="ListParagraph"/>
        <w:numPr>
          <w:ilvl w:val="0"/>
          <w:numId w:val="2"/>
        </w:numPr>
        <w:spacing w:after="60" w:line="300"/>
      </w:pPr>
      <w:r>
        <w:rPr>
          <w:rFonts w:ascii="Cambria" w:cs="Cambria" w:eastAsia="Cambria" w:hAnsi="Cambria"/>
          <w:sz w:val="22"/>
          <w:szCs w:val="22"/>
        </w:rPr>
        <w:t xml:space="preserve">IQVIA 1.2B non-identified patient records — CONFIRMED (IQVIA corporate materials; ~53 petabytes of data cited).</w:t>
      </w:r>
    </w:p>
    <w:p>
      <w:pPr>
        <w:pStyle w:val="ListParagraph"/>
        <w:numPr>
          <w:ilvl w:val="0"/>
          <w:numId w:val="2"/>
        </w:numPr>
        <w:spacing w:after="60" w:line="300"/>
      </w:pPr>
      <w:r>
        <w:rPr>
          <w:rFonts w:ascii="Cambria" w:cs="Cambria" w:eastAsia="Cambria" w:hAnsi="Cambria"/>
          <w:sz w:val="22"/>
          <w:szCs w:val="22"/>
        </w:rPr>
        <w:t xml:space="preserve">Q4 GAAP net income $135.1M, diluted EPS $4.67 — CONFIRMED (vs Q4 24: $117.0M, $3.67).</w:t>
      </w:r>
    </w:p>
    <w:p>
      <w:pPr>
        <w:pStyle w:val="ListParagraph"/>
        <w:numPr>
          <w:ilvl w:val="0"/>
          <w:numId w:val="2"/>
        </w:numPr>
        <w:spacing w:after="60" w:line="300"/>
      </w:pPr>
      <w:r>
        <w:rPr>
          <w:rFonts w:ascii="Cambria" w:cs="Cambria" w:eastAsia="Cambria" w:hAnsi="Cambria"/>
          <w:sz w:val="22"/>
          <w:szCs w:val="22"/>
        </w:rPr>
        <w:t xml:space="preserve">Remaining buyback authorization $821.7M at YE25 — CONFIRMED.</w:t>
      </w:r>
    </w:p>
    <w:p>
      <w:pPr>
        <w:pBdr>
          <w:bottom w:val="single" w:color="888888" w:sz="6" w:space="2"/>
        </w:pBdr>
        <w:spacing w:after="160" w:before="360"/>
      </w:pPr>
      <w:r>
        <w:rPr>
          <w:rFonts w:ascii="Calibri" w:cs="Calibri" w:eastAsia="Calibri" w:hAnsi="Calibri"/>
          <w:b/>
          <w:bCs/>
          <w:spacing w:val="30"/>
          <w:sz w:val="20"/>
          <w:szCs w:val="20"/>
        </w:rPr>
        <w:t xml:space="preserve">SECTION 4 · OVERALL ASSESSMENT</w:t>
      </w:r>
    </w:p>
    <w:p>
      <w:pPr>
        <w:spacing w:after="60" w:line="280"/>
      </w:pPr>
      <w:r>
        <w:rPr>
          <w:rFonts w:ascii="Calibri" w:cs="Calibri" w:eastAsia="Calibri" w:hAnsi="Calibri"/>
          <w:b/>
          <w:bCs/>
          <w:color w:val="333333"/>
          <w:sz w:val="16"/>
          <w:szCs w:val="16"/>
        </w:rPr>
        <w:t xml:space="preserve">Critical errors found:  </w:t>
      </w:r>
      <w:r>
        <w:rPr>
          <w:rFonts w:ascii="Cambria" w:cs="Cambria" w:eastAsia="Cambria" w:hAnsi="Cambria"/>
          <w:sz w:val="22"/>
          <w:szCs w:val="22"/>
        </w:rPr>
        <w:t xml:space="preserve">3 (Q4 book-to-bill stated as 1.28x vs actual 1.04x; Q4 EPS growth overstated; IQVIA FY25 revenue understated).</w:t>
      </w:r>
    </w:p>
    <w:p>
      <w:pPr>
        <w:spacing w:after="60" w:line="280"/>
      </w:pPr>
      <w:r>
        <w:rPr>
          <w:rFonts w:ascii="Calibri" w:cs="Calibri" w:eastAsia="Calibri" w:hAnsi="Calibri"/>
          <w:b/>
          <w:bCs/>
          <w:color w:val="A61B1B"/>
          <w:sz w:val="16"/>
          <w:szCs w:val="16"/>
        </w:rPr>
        <w:t xml:space="preserve">Most material gap:  </w:t>
      </w:r>
      <w:r>
        <w:rPr>
          <w:rFonts w:ascii="Cambria" w:cs="Cambria" w:eastAsia="Cambria" w:hAnsi="Cambria"/>
          <w:sz w:val="22"/>
          <w:szCs w:val="22"/>
        </w:rPr>
        <w:t xml:space="preserve">The 1.04x Q4 book-to-bill — materially worse than the 1.28x cited in the memo. The direction of the thesis (weakening demand, backlog being burned rather than replenished) is correct; in fact the actual number strengthens the thesis. But the specific number is wrong.</w:t>
      </w:r>
    </w:p>
    <w:p>
      <w:pPr>
        <w:spacing w:after="60" w:line="280"/>
      </w:pPr>
      <w:r>
        <w:rPr>
          <w:rFonts w:ascii="Calibri" w:cs="Calibri" w:eastAsia="Calibri" w:hAnsi="Calibri"/>
          <w:b/>
          <w:bCs/>
          <w:color w:val="b57f10"/>
          <w:sz w:val="16"/>
          <w:szCs w:val="16"/>
        </w:rPr>
        <w:t xml:space="preserve">Additional context (post-deck):  </w:t>
      </w:r>
      <w:r>
        <w:rPr>
          <w:rFonts w:ascii="Cambria" w:cs="Cambria" w:eastAsia="Cambria" w:hAnsi="Cambria"/>
          <w:sz w:val="22"/>
          <w:szCs w:val="22"/>
        </w:rPr>
        <w:t xml:space="preserve">A securities class-action investigation was launched in Feb 2026 specifically over the book-to-bill miss and cancellation disclosure pattern (Morningstar/PR Newswire, Feb 18, 2026). This validates the skeptical read but should be cited in any updated version of the memo.</w:t>
      </w:r>
    </w:p>
    <w:p>
      <w:pPr>
        <w:spacing w:after="60" w:line="280"/>
      </w:pPr>
      <w:r>
        <w:rPr>
          <w:rFonts w:ascii="Calibri" w:cs="Calibri" w:eastAsia="Calibri" w:hAnsi="Calibri"/>
          <w:b/>
          <w:bCs/>
          <w:color w:val="333333"/>
          <w:sz w:val="16"/>
          <w:szCs w:val="16"/>
        </w:rPr>
        <w:t xml:space="preserve">Recommended score adjustment:  </w:t>
      </w:r>
      <w:r>
        <w:rPr>
          <w:rFonts w:ascii="Cambria" w:cs="Cambria" w:eastAsia="Cambria" w:hAnsi="Cambria"/>
          <w:sz w:val="22"/>
          <w:szCs w:val="22"/>
        </w:rPr>
        <w:t xml:space="preserve">On a 1–5 skeptical-read scale: the memo scores 4/5 on directional accuracy and framework rigor, but loses a point for the book-to-bill and EPS specificity errors. Adjusted: 3.5/5.</w:t>
      </w:r>
    </w:p>
    <w:p>
      <w:pPr>
        <w:spacing w:after="60" w:line="280"/>
      </w:pPr>
      <w:r>
        <w:rPr>
          <w:rFonts w:ascii="Calibri" w:cs="Calibri" w:eastAsia="Calibri" w:hAnsi="Calibri"/>
          <w:b/>
          <w:bCs/>
          <w:color w:val="1f6b2a"/>
          <w:sz w:val="16"/>
          <w:szCs w:val="16"/>
        </w:rPr>
        <w:t xml:space="preserve">Confidence in original analysis:  </w:t>
      </w:r>
      <w:r>
        <w:rPr>
          <w:rFonts w:ascii="Cambria" w:cs="Cambria" w:eastAsia="Cambria" w:hAnsi="Cambria"/>
          <w:sz w:val="22"/>
          <w:szCs w:val="22"/>
        </w:rPr>
        <w:t xml:space="preserve">MEDIUM-HIGH. The framework and directional conclusions are sound. The two specific numeric errors need to be corrected before the memo is shared externally. The thesis itself (pass-through-inflated top line, buyback carrying EPS, backlog burning) is supported — and arguably strengthened — by the actual Q4 1.04x print and the post-deck class-action news.</w:t>
      </w:r>
    </w:p>
    <w:p>
      <w:pPr>
        <w:pBdr>
          <w:bottom w:val="single" w:color="888888" w:sz="6" w:space="2"/>
        </w:pBdr>
        <w:spacing w:after="160" w:before="360"/>
      </w:pPr>
      <w:r>
        <w:rPr>
          <w:rFonts w:ascii="Calibri" w:cs="Calibri" w:eastAsia="Calibri" w:hAnsi="Calibri"/>
          <w:b/>
          <w:bCs/>
          <w:spacing w:val="30"/>
          <w:sz w:val="20"/>
          <w:szCs w:val="20"/>
        </w:rPr>
        <w:t xml:space="preserve">RECOMMENDED REVISIONS</w:t>
      </w:r>
    </w:p>
    <w:p>
      <w:pPr>
        <w:pStyle w:val="ListParagraph"/>
        <w:numPr>
          <w:ilvl w:val="0"/>
          <w:numId w:val="2"/>
        </w:numPr>
        <w:spacing w:after="60" w:line="300"/>
      </w:pPr>
      <w:r>
        <w:rPr>
          <w:rFonts w:ascii="Cambria" w:cs="Cambria" w:eastAsia="Cambria" w:hAnsi="Cambria"/>
          <w:sz w:val="22"/>
          <w:szCs w:val="22"/>
        </w:rPr>
        <w:t xml:space="preserve">Replace "book-to-bill 0.90 / 1.03 / 1.13 / 1.28" with "book-to-bill below 1.0x in 1Q25, recovering to 1.04x in Q4 — management-acknowledged cancellation surge in metabolic trials."</w:t>
      </w:r>
    </w:p>
    <w:p>
      <w:pPr>
        <w:pStyle w:val="ListParagraph"/>
        <w:numPr>
          <w:ilvl w:val="0"/>
          <w:numId w:val="2"/>
        </w:numPr>
        <w:spacing w:after="60" w:line="300"/>
      </w:pPr>
      <w:r>
        <w:rPr>
          <w:rFonts w:ascii="Cambria" w:cs="Cambria" w:eastAsia="Cambria" w:hAnsi="Cambria"/>
          <w:sz w:val="22"/>
          <w:szCs w:val="22"/>
        </w:rPr>
        <w:t xml:space="preserve">Replace "EPS +67%" with "EPS +27% (GAAP)" or re-source the adjusted-EPS number from the deck and label it as non-GAAP.</w:t>
      </w:r>
    </w:p>
    <w:p>
      <w:pPr>
        <w:pStyle w:val="ListParagraph"/>
        <w:numPr>
          <w:ilvl w:val="0"/>
          <w:numId w:val="2"/>
        </w:numPr>
        <w:spacing w:after="60" w:line="300"/>
      </w:pPr>
      <w:r>
        <w:rPr>
          <w:rFonts w:ascii="Cambria" w:cs="Cambria" w:eastAsia="Cambria" w:hAnsi="Cambria"/>
          <w:sz w:val="22"/>
          <w:szCs w:val="22"/>
        </w:rPr>
        <w:t xml:space="preserve">In the IQVIA comparison, revise "~$15B revenue" to "$16.3B revenue (FY25)".</w:t>
      </w:r>
    </w:p>
    <w:p>
      <w:pPr>
        <w:pStyle w:val="ListParagraph"/>
        <w:numPr>
          <w:ilvl w:val="0"/>
          <w:numId w:val="2"/>
        </w:numPr>
        <w:spacing w:after="60" w:line="300"/>
      </w:pPr>
      <w:r>
        <w:rPr>
          <w:rFonts w:ascii="Cambria" w:cs="Cambria" w:eastAsia="Cambria" w:hAnsi="Cambria"/>
          <w:sz w:val="22"/>
          <w:szCs w:val="22"/>
        </w:rPr>
        <w:t xml:space="preserve">Add a brief acknowledgment of the Feb 2026 class-action investigation for completeness — not as an indictment, but as a disclosed fact that materially colors how management's narrative is received.</w:t>
      </w:r>
    </w:p>
    <w:p>
      <w:pPr>
        <w:pBdr>
          <w:top w:val="single" w:color="cfc8ba" w:sz="6" w:space="6"/>
        </w:pBdr>
        <w:spacing w:after="40" w:before="320"/>
      </w:pPr>
      <w:r>
        <w:rPr>
          <w:rFonts w:ascii="Calibri" w:cs="Calibri" w:eastAsia="Calibri" w:hAnsi="Calibri"/>
          <w:i/>
          <w:iCs/>
          <w:color w:val="6b7075"/>
          <w:sz w:val="16"/>
          <w:szCs w:val="16"/>
        </w:rPr>
        <w:t xml:space="preserve">Verification performed per Ann's standing preference: web-search verified all regulatory, financial, and competitive-landscape claims with specific dates. Source hierarchy: Medpace press releases and earnings-call transcripts &gt; third-party financial news &gt; IQVIA corporate disclosures. Time-sensitive facts were not trusted to training data. Analytical framework, not investment advice. Prepared 19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075"/>
        <w:sz w:val="16"/>
        <w:szCs w:val="16"/>
      </w:rPr>
      <w:t xml:space="preserve">Verification Protocol   |   </w:t>
    </w:r>
    <w:r>
      <w:rPr>
        <w:rFonts w:ascii="Calibri" w:cs="Calibri" w:eastAsia="Calibri" w:hAnsi="Calibri"/>
        <w:color w:val="6b70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Medpace Verification Protocol</dc:title>
  <dc:creator>Claude</dc:creator>
  <cp:lastModifiedBy>Un-named</cp:lastModifiedBy>
  <cp:revision>1</cp:revision>
  <dcterms:created xsi:type="dcterms:W3CDTF">2026-04-20T04:25:43.090Z</dcterms:created>
  <dcterms:modified xsi:type="dcterms:W3CDTF">2026-04-20T04:25:43.091Z</dcterms:modified>
</cp:coreProperties>
</file>

<file path=docProps/custom.xml><?xml version="1.0" encoding="utf-8"?>
<Properties xmlns="http://schemas.openxmlformats.org/officeDocument/2006/custom-properties" xmlns:vt="http://schemas.openxmlformats.org/officeDocument/2006/docPropsVTypes"/>
</file>