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83DD" w14:textId="77777777" w:rsidR="00BE60F7" w:rsidRDefault="00000000">
      <w:pPr>
        <w:spacing w:after="60"/>
      </w:pPr>
      <w:r>
        <w:rPr>
          <w:rFonts w:ascii="Calibri" w:eastAsia="Calibri" w:hAnsi="Calibri" w:cs="Calibri"/>
          <w:b/>
          <w:bCs/>
          <w:color w:val="A61B1B"/>
          <w:spacing w:val="60"/>
          <w:sz w:val="16"/>
          <w:szCs w:val="16"/>
        </w:rPr>
        <w:t>COMPANION NOTE · AI EXPOSURE</w:t>
      </w:r>
    </w:p>
    <w:p w14:paraId="21688A08" w14:textId="77777777" w:rsidR="00BE60F7" w:rsidRDefault="00000000">
      <w:pPr>
        <w:spacing w:after="40"/>
      </w:pPr>
      <w:r>
        <w:rPr>
          <w:b/>
          <w:bCs/>
          <w:sz w:val="56"/>
          <w:szCs w:val="56"/>
        </w:rPr>
        <w:t>Medpace vs IQVIA</w:t>
      </w:r>
    </w:p>
    <w:p w14:paraId="42841917" w14:textId="77777777" w:rsidR="00BE60F7" w:rsidRDefault="00000000">
      <w:pPr>
        <w:spacing w:after="220"/>
      </w:pPr>
      <w:r>
        <w:rPr>
          <w:i/>
          <w:iCs/>
          <w:color w:val="444444"/>
          <w:sz w:val="24"/>
          <w:szCs w:val="24"/>
        </w:rPr>
        <w:t>How AI's arrival redistributes value across the CRO complex — asymmetrically</w:t>
      </w:r>
    </w:p>
    <w:p w14:paraId="60C36C6F" w14:textId="77777777" w:rsidR="00BE60F7" w:rsidRDefault="00BE60F7">
      <w:pPr>
        <w:pBdr>
          <w:bottom w:val="double" w:sz="12" w:space="6" w:color="111111"/>
        </w:pBdr>
        <w:spacing w:after="320"/>
      </w:pPr>
    </w:p>
    <w:p w14:paraId="4423B970" w14:textId="77777777" w:rsidR="00BE60F7" w:rsidRDefault="00000000">
      <w:pPr>
        <w:spacing w:after="180" w:line="320" w:lineRule="auto"/>
      </w:pPr>
      <w:r>
        <w:rPr>
          <w:sz w:val="24"/>
          <w:szCs w:val="24"/>
        </w:rPr>
        <w:t xml:space="preserve">Medpace and IQVIA are often grouped as CRO peers, but they are structurally different businesses. That difference matters more under AI than under any prior disruption the industry has faced. IQVIA is a data-and-analytics company that also runs trials. Medpace is a </w:t>
      </w:r>
      <w:proofErr w:type="gramStart"/>
      <w:r>
        <w:rPr>
          <w:sz w:val="24"/>
          <w:szCs w:val="24"/>
        </w:rPr>
        <w:t>therapeutic-services</w:t>
      </w:r>
      <w:proofErr w:type="gramEnd"/>
      <w:r>
        <w:rPr>
          <w:sz w:val="24"/>
          <w:szCs w:val="24"/>
        </w:rPr>
        <w:t xml:space="preserve"> firm that happens to contract research. AI reorders the value of each of those business models in opposite directions.</w:t>
      </w:r>
    </w:p>
    <w:p w14:paraId="298DD2BC" w14:textId="77777777" w:rsidR="00BE60F7" w:rsidRDefault="00000000">
      <w:pPr>
        <w:pBdr>
          <w:bottom w:val="single" w:sz="6" w:space="2" w:color="888888"/>
        </w:pBdr>
        <w:spacing w:before="360" w:after="160"/>
      </w:pPr>
      <w:r>
        <w:rPr>
          <w:rFonts w:ascii="Calibri" w:eastAsia="Calibri" w:hAnsi="Calibri" w:cs="Calibri"/>
          <w:b/>
          <w:bCs/>
          <w:spacing w:val="30"/>
          <w:sz w:val="20"/>
          <w:szCs w:val="20"/>
        </w:rPr>
        <w:t>THE CORE FRAME</w:t>
      </w:r>
    </w:p>
    <w:p w14:paraId="40DA2FFE" w14:textId="77777777" w:rsidR="00BE60F7" w:rsidRDefault="00000000">
      <w:pPr>
        <w:pBdr>
          <w:left w:val="single" w:sz="18" w:space="14" w:color="A61B1B"/>
        </w:pBdr>
        <w:spacing w:before="140" w:after="180" w:line="320" w:lineRule="auto"/>
        <w:ind w:left="260"/>
      </w:pPr>
      <w:r>
        <w:rPr>
          <w:i/>
          <w:iCs/>
          <w:color w:val="333333"/>
          <w:sz w:val="26"/>
          <w:szCs w:val="26"/>
        </w:rPr>
        <w:t>AI raises the value of proprietary data and lowers the value of the undifferentiated labor attached to it. IQVIA owns the first asset and sells the second. Medpace sells a sharper version of the second and has none of the first.</w:t>
      </w:r>
    </w:p>
    <w:p w14:paraId="0D6FF7DF" w14:textId="77777777" w:rsidR="00BE60F7" w:rsidRDefault="00000000">
      <w:pPr>
        <w:spacing w:after="140" w:line="300" w:lineRule="auto"/>
      </w:pPr>
      <w:r>
        <w:t>IQVIA's economic engine rests on assets that AI makes more valuable: (1) ~1.2 billion non-identified patient records, (2) three decades of prescription and healthcare transaction data inherited from IMS, (3) an installed technology base at virtually every global pharma. AI-native entrants can replicate the workflow layer; they cannot replicate the data layer without decades of licensing and consent architecture. In IQVIA's Technology &amp; Analytics Solutions segment, the LLM era is arguably accretive — models need training corpora, and IQVIA has one of the few commercially usable RWE corpora in healthcare.</w:t>
      </w:r>
    </w:p>
    <w:p w14:paraId="1B84DC43" w14:textId="77777777" w:rsidR="00BE60F7" w:rsidRDefault="00000000">
      <w:pPr>
        <w:spacing w:after="140" w:line="300" w:lineRule="auto"/>
      </w:pPr>
      <w:proofErr w:type="spellStart"/>
      <w:r>
        <w:t>Medpace's</w:t>
      </w:r>
      <w:proofErr w:type="spellEnd"/>
      <w:r>
        <w:t xml:space="preserve"> economic engine is different. Its edge is therapeutic depth, PI relationships, and operational craft — in particular its ability to move small-biopharma protocols through Phase I–III faster and cheaper than larger peers. These are real competitive advantages, but they are not capturable in data. A well-tooled AI-native CRO with 200 engineers, access to open medical corpora, and a protocol-authoring model can encroach on the front end of </w:t>
      </w:r>
      <w:proofErr w:type="spellStart"/>
      <w:r>
        <w:t>Medpace's</w:t>
      </w:r>
      <w:proofErr w:type="spellEnd"/>
      <w:r>
        <w:t xml:space="preserve"> value chain (protocol design, medical writing, site selection) without ever touching </w:t>
      </w:r>
      <w:proofErr w:type="spellStart"/>
      <w:r>
        <w:t>Medpace's</w:t>
      </w:r>
      <w:proofErr w:type="spellEnd"/>
      <w:r>
        <w:t xml:space="preserve"> customer base.</w:t>
      </w:r>
    </w:p>
    <w:p w14:paraId="5302BD4C" w14:textId="77777777" w:rsidR="00BE60F7" w:rsidRDefault="00000000">
      <w:pPr>
        <w:pBdr>
          <w:bottom w:val="single" w:sz="6" w:space="2" w:color="888888"/>
        </w:pBdr>
        <w:spacing w:before="360" w:after="160"/>
      </w:pPr>
      <w:r>
        <w:rPr>
          <w:rFonts w:ascii="Calibri" w:eastAsia="Calibri" w:hAnsi="Calibri" w:cs="Calibri"/>
          <w:b/>
          <w:bCs/>
          <w:spacing w:val="30"/>
          <w:sz w:val="20"/>
          <w:szCs w:val="20"/>
        </w:rPr>
        <w:t>WHERE AI MOVES THE P&amp;L</w:t>
      </w:r>
    </w:p>
    <w:p w14:paraId="2B24E6F9" w14:textId="77777777" w:rsidR="00BE60F7" w:rsidRDefault="00000000">
      <w:pPr>
        <w:spacing w:before="160" w:after="60"/>
      </w:pPr>
      <w:r>
        <w:rPr>
          <w:rFonts w:ascii="Calibri" w:eastAsia="Calibri" w:hAnsi="Calibri" w:cs="Calibri"/>
          <w:b/>
          <w:bCs/>
          <w:color w:val="222222"/>
          <w:sz w:val="18"/>
          <w:szCs w:val="18"/>
        </w:rPr>
        <w:t>Revenue lines most exposed to GenAI automation</w:t>
      </w:r>
    </w:p>
    <w:p w14:paraId="41BDBA8B" w14:textId="77777777" w:rsidR="00BE60F7" w:rsidRDefault="00000000">
      <w:pPr>
        <w:pStyle w:val="ListParagraph"/>
        <w:numPr>
          <w:ilvl w:val="0"/>
          <w:numId w:val="2"/>
        </w:numPr>
        <w:spacing w:after="80" w:line="300" w:lineRule="auto"/>
      </w:pPr>
      <w:r>
        <w:t>Medical writing and regulatory document preparation — at IQVIA this is a multi-hundred-million-dollar service line; at Medpace it is bundled inside full-service pricing</w:t>
      </w:r>
    </w:p>
    <w:p w14:paraId="26AA4967" w14:textId="77777777" w:rsidR="00BE60F7" w:rsidRDefault="00000000">
      <w:pPr>
        <w:pStyle w:val="ListParagraph"/>
        <w:numPr>
          <w:ilvl w:val="0"/>
          <w:numId w:val="2"/>
        </w:numPr>
        <w:spacing w:after="80" w:line="300" w:lineRule="auto"/>
      </w:pPr>
      <w:r>
        <w:lastRenderedPageBreak/>
        <w:t>Protocol authoring and feasibility analysis — both are AI-displaceable, and IQVIA sells them separately while Medpace bundles them</w:t>
      </w:r>
    </w:p>
    <w:p w14:paraId="6DCEC543" w14:textId="77777777" w:rsidR="00BE60F7" w:rsidRDefault="00000000">
      <w:pPr>
        <w:pStyle w:val="ListParagraph"/>
        <w:numPr>
          <w:ilvl w:val="0"/>
          <w:numId w:val="2"/>
        </w:numPr>
        <w:spacing w:after="80" w:line="300" w:lineRule="auto"/>
      </w:pPr>
      <w:r>
        <w:t xml:space="preserve">Pharmacovigilance case processing — IQVIA has a dedicated safety organization; </w:t>
      </w:r>
      <w:proofErr w:type="spellStart"/>
      <w:r>
        <w:t>Medpace's</w:t>
      </w:r>
      <w:proofErr w:type="spellEnd"/>
      <w:r>
        <w:t xml:space="preserve"> exposure is modest</w:t>
      </w:r>
    </w:p>
    <w:p w14:paraId="30729B2B" w14:textId="77777777" w:rsidR="00BE60F7" w:rsidRDefault="00000000">
      <w:pPr>
        <w:pStyle w:val="ListParagraph"/>
        <w:numPr>
          <w:ilvl w:val="0"/>
          <w:numId w:val="2"/>
        </w:numPr>
        <w:spacing w:after="80" w:line="300" w:lineRule="auto"/>
      </w:pPr>
      <w:r>
        <w:t>Clinical monitoring and site management — Medpace-heavy; AI-resistant in the near term but vulnerable to risk-based monitoring</w:t>
      </w:r>
    </w:p>
    <w:p w14:paraId="37B795F7" w14:textId="77777777" w:rsidR="00BE60F7" w:rsidRDefault="00000000">
      <w:pPr>
        <w:spacing w:before="160" w:after="60"/>
      </w:pPr>
      <w:r>
        <w:rPr>
          <w:rFonts w:ascii="Calibri" w:eastAsia="Calibri" w:hAnsi="Calibri" w:cs="Calibri"/>
          <w:b/>
          <w:bCs/>
          <w:color w:val="222222"/>
          <w:sz w:val="18"/>
          <w:szCs w:val="18"/>
        </w:rPr>
        <w:t>Revenue lines where AI is accretive, not dilutive</w:t>
      </w:r>
    </w:p>
    <w:p w14:paraId="1900FA4D" w14:textId="77777777" w:rsidR="00BE60F7" w:rsidRDefault="00000000">
      <w:pPr>
        <w:pStyle w:val="ListParagraph"/>
        <w:numPr>
          <w:ilvl w:val="0"/>
          <w:numId w:val="2"/>
        </w:numPr>
        <w:spacing w:after="80" w:line="300" w:lineRule="auto"/>
      </w:pPr>
      <w:r>
        <w:t>Real-world evidence (RWE) study design — IQVIA's data moat becomes more monetizable as AI makes cohort construction cheaper</w:t>
      </w:r>
    </w:p>
    <w:p w14:paraId="558F2015" w14:textId="77777777" w:rsidR="00BE60F7" w:rsidRDefault="00000000">
      <w:pPr>
        <w:pStyle w:val="ListParagraph"/>
        <w:numPr>
          <w:ilvl w:val="0"/>
          <w:numId w:val="2"/>
        </w:numPr>
        <w:spacing w:after="80" w:line="300" w:lineRule="auto"/>
      </w:pPr>
      <w:r>
        <w:t>Synthetic control arms — only viable if you own the data; IQVIA can, Medpace cannot</w:t>
      </w:r>
    </w:p>
    <w:p w14:paraId="6ECEA3BC" w14:textId="77777777" w:rsidR="00BE60F7" w:rsidRDefault="00000000">
      <w:pPr>
        <w:pStyle w:val="ListParagraph"/>
        <w:numPr>
          <w:ilvl w:val="0"/>
          <w:numId w:val="2"/>
        </w:numPr>
        <w:spacing w:after="80" w:line="300" w:lineRule="auto"/>
      </w:pPr>
      <w:r>
        <w:t xml:space="preserve">Commercial analytics (IQVIA MedTech, Consumer </w:t>
      </w:r>
      <w:proofErr w:type="gramStart"/>
      <w:r>
        <w:t>Health) —</w:t>
      </w:r>
      <w:proofErr w:type="gramEnd"/>
      <w:r>
        <w:t xml:space="preserve"> unaffected or accretive; not a Medpace business</w:t>
      </w:r>
    </w:p>
    <w:p w14:paraId="086C68E6" w14:textId="77777777" w:rsidR="00BE60F7" w:rsidRDefault="00000000">
      <w:pPr>
        <w:pBdr>
          <w:bottom w:val="single" w:sz="6" w:space="2" w:color="888888"/>
        </w:pBdr>
        <w:spacing w:before="360" w:after="160"/>
      </w:pPr>
      <w:r>
        <w:rPr>
          <w:rFonts w:ascii="Calibri" w:eastAsia="Calibri" w:hAnsi="Calibri" w:cs="Calibri"/>
          <w:b/>
          <w:bCs/>
          <w:spacing w:val="30"/>
          <w:sz w:val="20"/>
          <w:szCs w:val="20"/>
        </w:rPr>
        <w:t>STRUCTURAL COMPARISON</w:t>
      </w:r>
    </w:p>
    <w:tbl>
      <w:tblPr>
        <w:tblW w:w="9360" w:type="dxa"/>
        <w:tblBorders>
          <w:top w:val="single" w:sz="4" w:space="0" w:color="CCCCCC"/>
          <w:left w:val="single" w:sz="4" w:space="0" w:color="CCCCCC"/>
          <w:bottom w:val="single" w:sz="4" w:space="0" w:color="CCCCCC"/>
          <w:right w:val="single" w:sz="4" w:space="0" w:color="CCCCCC"/>
          <w:insideH w:val="single" w:sz="2" w:space="0" w:color="E5E0D2"/>
          <w:insideV w:val="single" w:sz="2" w:space="0" w:color="E5E0D2"/>
        </w:tblBorders>
        <w:tblCellMar>
          <w:left w:w="10" w:type="dxa"/>
          <w:right w:w="10" w:type="dxa"/>
        </w:tblCellMar>
        <w:tblLook w:val="04A0" w:firstRow="1" w:lastRow="0" w:firstColumn="1" w:lastColumn="0" w:noHBand="0" w:noVBand="1"/>
      </w:tblPr>
      <w:tblGrid>
        <w:gridCol w:w="2160"/>
        <w:gridCol w:w="3600"/>
        <w:gridCol w:w="3600"/>
      </w:tblGrid>
      <w:tr w:rsidR="00BE60F7" w14:paraId="2D62ECF8" w14:textId="77777777">
        <w:tblPrEx>
          <w:tblCellMar>
            <w:top w:w="0" w:type="dxa"/>
            <w:bottom w:w="0" w:type="dxa"/>
          </w:tblCellMar>
        </w:tblPrEx>
        <w:tc>
          <w:tcPr>
            <w:tcW w:w="2160" w:type="dxa"/>
            <w:shd w:val="clear" w:color="auto" w:fill="111418"/>
            <w:tcMar>
              <w:top w:w="120" w:type="dxa"/>
              <w:left w:w="160" w:type="dxa"/>
              <w:bottom w:w="120" w:type="dxa"/>
              <w:right w:w="160" w:type="dxa"/>
            </w:tcMar>
          </w:tcPr>
          <w:p w14:paraId="4200EDEF" w14:textId="77777777" w:rsidR="00BE60F7" w:rsidRDefault="00000000">
            <w:r>
              <w:rPr>
                <w:rFonts w:ascii="Calibri" w:eastAsia="Calibri" w:hAnsi="Calibri" w:cs="Calibri"/>
                <w:b/>
                <w:bCs/>
                <w:color w:val="FFFFFF"/>
                <w:sz w:val="18"/>
                <w:szCs w:val="18"/>
              </w:rPr>
              <w:t>Dimension</w:t>
            </w:r>
          </w:p>
        </w:tc>
        <w:tc>
          <w:tcPr>
            <w:tcW w:w="3600" w:type="dxa"/>
            <w:shd w:val="clear" w:color="auto" w:fill="111418"/>
            <w:tcMar>
              <w:top w:w="120" w:type="dxa"/>
              <w:left w:w="160" w:type="dxa"/>
              <w:bottom w:w="120" w:type="dxa"/>
              <w:right w:w="160" w:type="dxa"/>
            </w:tcMar>
          </w:tcPr>
          <w:p w14:paraId="38B4D45F" w14:textId="77777777" w:rsidR="00BE60F7" w:rsidRDefault="00000000">
            <w:r>
              <w:rPr>
                <w:rFonts w:ascii="Calibri" w:eastAsia="Calibri" w:hAnsi="Calibri" w:cs="Calibri"/>
                <w:b/>
                <w:bCs/>
                <w:color w:val="FFFFFF"/>
                <w:sz w:val="18"/>
                <w:szCs w:val="18"/>
              </w:rPr>
              <w:t>Medpace (MEDP)</w:t>
            </w:r>
          </w:p>
        </w:tc>
        <w:tc>
          <w:tcPr>
            <w:tcW w:w="3600" w:type="dxa"/>
            <w:shd w:val="clear" w:color="auto" w:fill="111418"/>
            <w:tcMar>
              <w:top w:w="120" w:type="dxa"/>
              <w:left w:w="160" w:type="dxa"/>
              <w:bottom w:w="120" w:type="dxa"/>
              <w:right w:w="160" w:type="dxa"/>
            </w:tcMar>
          </w:tcPr>
          <w:p w14:paraId="0C442598" w14:textId="77777777" w:rsidR="00BE60F7" w:rsidRDefault="00000000">
            <w:r>
              <w:rPr>
                <w:rFonts w:ascii="Calibri" w:eastAsia="Calibri" w:hAnsi="Calibri" w:cs="Calibri"/>
                <w:b/>
                <w:bCs/>
                <w:color w:val="FFFFFF"/>
                <w:sz w:val="18"/>
                <w:szCs w:val="18"/>
              </w:rPr>
              <w:t>IQVIA (IQV)</w:t>
            </w:r>
          </w:p>
        </w:tc>
      </w:tr>
      <w:tr w:rsidR="00BE60F7" w14:paraId="6AD9A64A" w14:textId="77777777">
        <w:tblPrEx>
          <w:tblCellMar>
            <w:top w:w="0" w:type="dxa"/>
            <w:bottom w:w="0" w:type="dxa"/>
          </w:tblCellMar>
        </w:tblPrEx>
        <w:tc>
          <w:tcPr>
            <w:tcW w:w="2160" w:type="dxa"/>
            <w:tcMar>
              <w:top w:w="120" w:type="dxa"/>
              <w:left w:w="160" w:type="dxa"/>
              <w:bottom w:w="120" w:type="dxa"/>
              <w:right w:w="160" w:type="dxa"/>
            </w:tcMar>
          </w:tcPr>
          <w:p w14:paraId="4729BB23" w14:textId="77777777" w:rsidR="00BE60F7" w:rsidRDefault="00000000">
            <w:r>
              <w:rPr>
                <w:rFonts w:ascii="Calibri" w:eastAsia="Calibri" w:hAnsi="Calibri" w:cs="Calibri"/>
                <w:color w:val="222222"/>
                <w:sz w:val="18"/>
                <w:szCs w:val="18"/>
              </w:rPr>
              <w:t>Scale</w:t>
            </w:r>
          </w:p>
        </w:tc>
        <w:tc>
          <w:tcPr>
            <w:tcW w:w="3600" w:type="dxa"/>
            <w:tcMar>
              <w:top w:w="120" w:type="dxa"/>
              <w:left w:w="160" w:type="dxa"/>
              <w:bottom w:w="120" w:type="dxa"/>
              <w:right w:w="160" w:type="dxa"/>
            </w:tcMar>
          </w:tcPr>
          <w:p w14:paraId="26FD0DC6" w14:textId="77777777" w:rsidR="00BE60F7" w:rsidRDefault="00000000">
            <w:r>
              <w:rPr>
                <w:rFonts w:ascii="Calibri" w:eastAsia="Calibri" w:hAnsi="Calibri" w:cs="Calibri"/>
                <w:color w:val="222222"/>
                <w:sz w:val="18"/>
                <w:szCs w:val="18"/>
              </w:rPr>
              <w:t>$2.83B run-rate revenue; ~5,900 employees</w:t>
            </w:r>
          </w:p>
        </w:tc>
        <w:tc>
          <w:tcPr>
            <w:tcW w:w="3600" w:type="dxa"/>
            <w:tcMar>
              <w:top w:w="120" w:type="dxa"/>
              <w:left w:w="160" w:type="dxa"/>
              <w:bottom w:w="120" w:type="dxa"/>
              <w:right w:w="160" w:type="dxa"/>
            </w:tcMar>
          </w:tcPr>
          <w:p w14:paraId="55063986" w14:textId="77777777" w:rsidR="00BE60F7" w:rsidRDefault="00000000">
            <w:r>
              <w:rPr>
                <w:rFonts w:ascii="Calibri" w:eastAsia="Calibri" w:hAnsi="Calibri" w:cs="Calibri"/>
                <w:color w:val="222222"/>
                <w:sz w:val="18"/>
                <w:szCs w:val="18"/>
              </w:rPr>
              <w:t>~$15B revenue; ~89,000 employees</w:t>
            </w:r>
          </w:p>
        </w:tc>
      </w:tr>
      <w:tr w:rsidR="00BE60F7" w14:paraId="7B72DBF8" w14:textId="77777777">
        <w:tblPrEx>
          <w:tblCellMar>
            <w:top w:w="0" w:type="dxa"/>
            <w:bottom w:w="0" w:type="dxa"/>
          </w:tblCellMar>
        </w:tblPrEx>
        <w:tc>
          <w:tcPr>
            <w:tcW w:w="2160" w:type="dxa"/>
            <w:tcMar>
              <w:top w:w="120" w:type="dxa"/>
              <w:left w:w="160" w:type="dxa"/>
              <w:bottom w:w="120" w:type="dxa"/>
              <w:right w:w="160" w:type="dxa"/>
            </w:tcMar>
          </w:tcPr>
          <w:p w14:paraId="3ACD5234" w14:textId="77777777" w:rsidR="00BE60F7" w:rsidRDefault="00000000">
            <w:r>
              <w:rPr>
                <w:rFonts w:ascii="Calibri" w:eastAsia="Calibri" w:hAnsi="Calibri" w:cs="Calibri"/>
                <w:color w:val="222222"/>
                <w:sz w:val="18"/>
                <w:szCs w:val="18"/>
              </w:rPr>
              <w:t>Customer mix</w:t>
            </w:r>
          </w:p>
        </w:tc>
        <w:tc>
          <w:tcPr>
            <w:tcW w:w="3600" w:type="dxa"/>
            <w:tcMar>
              <w:top w:w="120" w:type="dxa"/>
              <w:left w:w="160" w:type="dxa"/>
              <w:bottom w:w="120" w:type="dxa"/>
              <w:right w:w="160" w:type="dxa"/>
            </w:tcMar>
          </w:tcPr>
          <w:p w14:paraId="71D76F54" w14:textId="77777777" w:rsidR="00BE60F7" w:rsidRDefault="00000000">
            <w:r>
              <w:rPr>
                <w:rFonts w:ascii="Calibri" w:eastAsia="Calibri" w:hAnsi="Calibri" w:cs="Calibri"/>
                <w:color w:val="222222"/>
                <w:sz w:val="18"/>
                <w:szCs w:val="18"/>
              </w:rPr>
              <w:t xml:space="preserve">Small/mid biopharma; </w:t>
            </w:r>
            <w:proofErr w:type="gramStart"/>
            <w:r>
              <w:rPr>
                <w:rFonts w:ascii="Calibri" w:eastAsia="Calibri" w:hAnsi="Calibri" w:cs="Calibri"/>
                <w:color w:val="222222"/>
                <w:sz w:val="18"/>
                <w:szCs w:val="18"/>
              </w:rPr>
              <w:t>top-10</w:t>
            </w:r>
            <w:proofErr w:type="gramEnd"/>
            <w:r>
              <w:rPr>
                <w:rFonts w:ascii="Calibri" w:eastAsia="Calibri" w:hAnsi="Calibri" w:cs="Calibri"/>
                <w:color w:val="222222"/>
                <w:sz w:val="18"/>
                <w:szCs w:val="18"/>
              </w:rPr>
              <w:t xml:space="preserve"> at 35% concentration</w:t>
            </w:r>
          </w:p>
        </w:tc>
        <w:tc>
          <w:tcPr>
            <w:tcW w:w="3600" w:type="dxa"/>
            <w:tcMar>
              <w:top w:w="120" w:type="dxa"/>
              <w:left w:w="160" w:type="dxa"/>
              <w:bottom w:w="120" w:type="dxa"/>
              <w:right w:w="160" w:type="dxa"/>
            </w:tcMar>
          </w:tcPr>
          <w:p w14:paraId="70D6CC91" w14:textId="77777777" w:rsidR="00BE60F7" w:rsidRDefault="00000000">
            <w:proofErr w:type="gramStart"/>
            <w:r>
              <w:rPr>
                <w:rFonts w:ascii="Calibri" w:eastAsia="Calibri" w:hAnsi="Calibri" w:cs="Calibri"/>
                <w:color w:val="222222"/>
                <w:sz w:val="18"/>
                <w:szCs w:val="18"/>
              </w:rPr>
              <w:t>Top-20</w:t>
            </w:r>
            <w:proofErr w:type="gramEnd"/>
            <w:r>
              <w:rPr>
                <w:rFonts w:ascii="Calibri" w:eastAsia="Calibri" w:hAnsi="Calibri" w:cs="Calibri"/>
                <w:color w:val="222222"/>
                <w:sz w:val="18"/>
                <w:szCs w:val="18"/>
              </w:rPr>
              <w:t xml:space="preserve"> global pharma ~40% of rev; wide biotech long-tail</w:t>
            </w:r>
          </w:p>
        </w:tc>
      </w:tr>
      <w:tr w:rsidR="00BE60F7" w14:paraId="36763E14" w14:textId="77777777">
        <w:tblPrEx>
          <w:tblCellMar>
            <w:top w:w="0" w:type="dxa"/>
            <w:bottom w:w="0" w:type="dxa"/>
          </w:tblCellMar>
        </w:tblPrEx>
        <w:tc>
          <w:tcPr>
            <w:tcW w:w="2160" w:type="dxa"/>
            <w:tcMar>
              <w:top w:w="120" w:type="dxa"/>
              <w:left w:w="160" w:type="dxa"/>
              <w:bottom w:w="120" w:type="dxa"/>
              <w:right w:w="160" w:type="dxa"/>
            </w:tcMar>
          </w:tcPr>
          <w:p w14:paraId="006DBEB2" w14:textId="77777777" w:rsidR="00BE60F7" w:rsidRDefault="00000000">
            <w:r>
              <w:rPr>
                <w:rFonts w:ascii="Calibri" w:eastAsia="Calibri" w:hAnsi="Calibri" w:cs="Calibri"/>
                <w:color w:val="222222"/>
                <w:sz w:val="18"/>
                <w:szCs w:val="18"/>
              </w:rPr>
              <w:t>Data assets</w:t>
            </w:r>
          </w:p>
        </w:tc>
        <w:tc>
          <w:tcPr>
            <w:tcW w:w="3600" w:type="dxa"/>
            <w:tcMar>
              <w:top w:w="120" w:type="dxa"/>
              <w:left w:w="160" w:type="dxa"/>
              <w:bottom w:w="120" w:type="dxa"/>
              <w:right w:w="160" w:type="dxa"/>
            </w:tcMar>
          </w:tcPr>
          <w:p w14:paraId="0D39610C" w14:textId="77777777" w:rsidR="00BE60F7" w:rsidRDefault="00000000">
            <w:r>
              <w:rPr>
                <w:rFonts w:ascii="Calibri" w:eastAsia="Calibri" w:hAnsi="Calibri" w:cs="Calibri"/>
                <w:color w:val="222222"/>
                <w:sz w:val="18"/>
                <w:szCs w:val="18"/>
              </w:rPr>
              <w:t>None publicly disclosed — pure services model</w:t>
            </w:r>
          </w:p>
        </w:tc>
        <w:tc>
          <w:tcPr>
            <w:tcW w:w="3600" w:type="dxa"/>
            <w:tcMar>
              <w:top w:w="120" w:type="dxa"/>
              <w:left w:w="160" w:type="dxa"/>
              <w:bottom w:w="120" w:type="dxa"/>
              <w:right w:w="160" w:type="dxa"/>
            </w:tcMar>
          </w:tcPr>
          <w:p w14:paraId="6D4CCD8B" w14:textId="77777777" w:rsidR="00BE60F7" w:rsidRDefault="00000000">
            <w:r>
              <w:rPr>
                <w:rFonts w:ascii="Calibri" w:eastAsia="Calibri" w:hAnsi="Calibri" w:cs="Calibri"/>
                <w:color w:val="222222"/>
                <w:sz w:val="18"/>
                <w:szCs w:val="18"/>
              </w:rPr>
              <w:t>~1.2B non-identified patient records; 67B healthcare transactions (IMS legacy)</w:t>
            </w:r>
          </w:p>
        </w:tc>
      </w:tr>
      <w:tr w:rsidR="00BE60F7" w14:paraId="66FFD2B3" w14:textId="77777777">
        <w:tblPrEx>
          <w:tblCellMar>
            <w:top w:w="0" w:type="dxa"/>
            <w:bottom w:w="0" w:type="dxa"/>
          </w:tblCellMar>
        </w:tblPrEx>
        <w:tc>
          <w:tcPr>
            <w:tcW w:w="2160" w:type="dxa"/>
            <w:tcMar>
              <w:top w:w="120" w:type="dxa"/>
              <w:left w:w="160" w:type="dxa"/>
              <w:bottom w:w="120" w:type="dxa"/>
              <w:right w:w="160" w:type="dxa"/>
            </w:tcMar>
          </w:tcPr>
          <w:p w14:paraId="713848C6" w14:textId="77777777" w:rsidR="00BE60F7" w:rsidRDefault="00000000">
            <w:r>
              <w:rPr>
                <w:rFonts w:ascii="Calibri" w:eastAsia="Calibri" w:hAnsi="Calibri" w:cs="Calibri"/>
                <w:color w:val="222222"/>
                <w:sz w:val="18"/>
                <w:szCs w:val="18"/>
              </w:rPr>
              <w:t>AI strategy (public)</w:t>
            </w:r>
          </w:p>
        </w:tc>
        <w:tc>
          <w:tcPr>
            <w:tcW w:w="3600" w:type="dxa"/>
            <w:tcMar>
              <w:top w:w="120" w:type="dxa"/>
              <w:left w:w="160" w:type="dxa"/>
              <w:bottom w:w="120" w:type="dxa"/>
              <w:right w:w="160" w:type="dxa"/>
            </w:tcMar>
          </w:tcPr>
          <w:p w14:paraId="174CC706" w14:textId="77777777" w:rsidR="00BE60F7" w:rsidRDefault="00000000">
            <w:r>
              <w:rPr>
                <w:rFonts w:ascii="Calibri" w:eastAsia="Calibri" w:hAnsi="Calibri" w:cs="Calibri"/>
                <w:color w:val="222222"/>
                <w:sz w:val="18"/>
                <w:szCs w:val="18"/>
              </w:rPr>
              <w:t>Not mentioned in 4Q25 deck</w:t>
            </w:r>
          </w:p>
        </w:tc>
        <w:tc>
          <w:tcPr>
            <w:tcW w:w="3600" w:type="dxa"/>
            <w:tcMar>
              <w:top w:w="120" w:type="dxa"/>
              <w:left w:w="160" w:type="dxa"/>
              <w:bottom w:w="120" w:type="dxa"/>
              <w:right w:w="160" w:type="dxa"/>
            </w:tcMar>
          </w:tcPr>
          <w:p w14:paraId="777BE4A7" w14:textId="77777777" w:rsidR="00BE60F7" w:rsidRDefault="00000000">
            <w:r>
              <w:rPr>
                <w:rFonts w:ascii="Calibri" w:eastAsia="Calibri" w:hAnsi="Calibri" w:cs="Calibri"/>
                <w:color w:val="222222"/>
                <w:sz w:val="18"/>
                <w:szCs w:val="18"/>
              </w:rPr>
              <w:t xml:space="preserve">IQVIA AI </w:t>
            </w:r>
            <w:proofErr w:type="gramStart"/>
            <w:r>
              <w:rPr>
                <w:rFonts w:ascii="Calibri" w:eastAsia="Calibri" w:hAnsi="Calibri" w:cs="Calibri"/>
                <w:color w:val="222222"/>
                <w:sz w:val="18"/>
                <w:szCs w:val="18"/>
              </w:rPr>
              <w:t>platform;</w:t>
            </w:r>
            <w:proofErr w:type="gramEnd"/>
            <w:r>
              <w:rPr>
                <w:rFonts w:ascii="Calibri" w:eastAsia="Calibri" w:hAnsi="Calibri" w:cs="Calibri"/>
                <w:color w:val="222222"/>
                <w:sz w:val="18"/>
                <w:szCs w:val="18"/>
              </w:rPr>
              <w:t xml:space="preserve"> dozens of GenAI initiatives with customers disclosed</w:t>
            </w:r>
          </w:p>
        </w:tc>
      </w:tr>
      <w:tr w:rsidR="00BE60F7" w14:paraId="0FC864B0" w14:textId="77777777">
        <w:tblPrEx>
          <w:tblCellMar>
            <w:top w:w="0" w:type="dxa"/>
            <w:bottom w:w="0" w:type="dxa"/>
          </w:tblCellMar>
        </w:tblPrEx>
        <w:tc>
          <w:tcPr>
            <w:tcW w:w="2160" w:type="dxa"/>
            <w:tcMar>
              <w:top w:w="120" w:type="dxa"/>
              <w:left w:w="160" w:type="dxa"/>
              <w:bottom w:w="120" w:type="dxa"/>
              <w:right w:w="160" w:type="dxa"/>
            </w:tcMar>
          </w:tcPr>
          <w:p w14:paraId="7F431CED" w14:textId="77777777" w:rsidR="00BE60F7" w:rsidRDefault="00000000">
            <w:r>
              <w:rPr>
                <w:rFonts w:ascii="Calibri" w:eastAsia="Calibri" w:hAnsi="Calibri" w:cs="Calibri"/>
                <w:color w:val="222222"/>
                <w:sz w:val="18"/>
                <w:szCs w:val="18"/>
              </w:rPr>
              <w:t>Most exposed revenue line</w:t>
            </w:r>
          </w:p>
        </w:tc>
        <w:tc>
          <w:tcPr>
            <w:tcW w:w="3600" w:type="dxa"/>
            <w:tcMar>
              <w:top w:w="120" w:type="dxa"/>
              <w:left w:w="160" w:type="dxa"/>
              <w:bottom w:w="120" w:type="dxa"/>
              <w:right w:w="160" w:type="dxa"/>
            </w:tcMar>
          </w:tcPr>
          <w:p w14:paraId="4CB9B29F" w14:textId="77777777" w:rsidR="00BE60F7" w:rsidRDefault="00000000">
            <w:r>
              <w:rPr>
                <w:rFonts w:ascii="Calibri" w:eastAsia="Calibri" w:hAnsi="Calibri" w:cs="Calibri"/>
                <w:color w:val="222222"/>
                <w:sz w:val="18"/>
                <w:szCs w:val="18"/>
              </w:rPr>
              <w:t>Protocol authoring, medical writing, site monitoring, monitoring visits</w:t>
            </w:r>
          </w:p>
        </w:tc>
        <w:tc>
          <w:tcPr>
            <w:tcW w:w="3600" w:type="dxa"/>
            <w:tcMar>
              <w:top w:w="120" w:type="dxa"/>
              <w:left w:w="160" w:type="dxa"/>
              <w:bottom w:w="120" w:type="dxa"/>
              <w:right w:w="160" w:type="dxa"/>
            </w:tcMar>
          </w:tcPr>
          <w:p w14:paraId="0B0667CA" w14:textId="77777777" w:rsidR="00BE60F7" w:rsidRDefault="00000000">
            <w:r>
              <w:rPr>
                <w:rFonts w:ascii="Calibri" w:eastAsia="Calibri" w:hAnsi="Calibri" w:cs="Calibri"/>
                <w:color w:val="222222"/>
                <w:sz w:val="18"/>
                <w:szCs w:val="18"/>
              </w:rPr>
              <w:t>TAS (Technology &amp; Analytics), medical writing, safety/pharmacovigilance, RWE</w:t>
            </w:r>
          </w:p>
        </w:tc>
      </w:tr>
      <w:tr w:rsidR="00BE60F7" w14:paraId="75849A5D" w14:textId="77777777">
        <w:tblPrEx>
          <w:tblCellMar>
            <w:top w:w="0" w:type="dxa"/>
            <w:bottom w:w="0" w:type="dxa"/>
          </w:tblCellMar>
        </w:tblPrEx>
        <w:tc>
          <w:tcPr>
            <w:tcW w:w="2160" w:type="dxa"/>
            <w:tcMar>
              <w:top w:w="120" w:type="dxa"/>
              <w:left w:w="160" w:type="dxa"/>
              <w:bottom w:w="120" w:type="dxa"/>
              <w:right w:w="160" w:type="dxa"/>
            </w:tcMar>
          </w:tcPr>
          <w:p w14:paraId="15CB5F2D" w14:textId="77777777" w:rsidR="00BE60F7" w:rsidRDefault="00000000">
            <w:r>
              <w:rPr>
                <w:rFonts w:ascii="Calibri" w:eastAsia="Calibri" w:hAnsi="Calibri" w:cs="Calibri"/>
                <w:color w:val="222222"/>
                <w:sz w:val="18"/>
                <w:szCs w:val="18"/>
              </w:rPr>
              <w:t>Defensibility vs AI</w:t>
            </w:r>
          </w:p>
        </w:tc>
        <w:tc>
          <w:tcPr>
            <w:tcW w:w="3600" w:type="dxa"/>
            <w:tcMar>
              <w:top w:w="120" w:type="dxa"/>
              <w:left w:w="160" w:type="dxa"/>
              <w:bottom w:w="120" w:type="dxa"/>
              <w:right w:w="160" w:type="dxa"/>
            </w:tcMar>
          </w:tcPr>
          <w:p w14:paraId="360EED68" w14:textId="77777777" w:rsidR="00BE60F7" w:rsidRDefault="00000000">
            <w:r>
              <w:rPr>
                <w:rFonts w:ascii="Calibri" w:eastAsia="Calibri" w:hAnsi="Calibri" w:cs="Calibri"/>
                <w:color w:val="222222"/>
                <w:sz w:val="18"/>
                <w:szCs w:val="18"/>
              </w:rPr>
              <w:t>Operational craft, site relationships, therapeutic depth — real but undisclosed moat</w:t>
            </w:r>
          </w:p>
        </w:tc>
        <w:tc>
          <w:tcPr>
            <w:tcW w:w="3600" w:type="dxa"/>
            <w:tcMar>
              <w:top w:w="120" w:type="dxa"/>
              <w:left w:w="160" w:type="dxa"/>
              <w:bottom w:w="120" w:type="dxa"/>
              <w:right w:w="160" w:type="dxa"/>
            </w:tcMar>
          </w:tcPr>
          <w:p w14:paraId="75B68120" w14:textId="77777777" w:rsidR="00BE60F7" w:rsidRDefault="00000000">
            <w:r>
              <w:rPr>
                <w:rFonts w:ascii="Calibri" w:eastAsia="Calibri" w:hAnsi="Calibri" w:cs="Calibri"/>
                <w:color w:val="222222"/>
                <w:sz w:val="18"/>
                <w:szCs w:val="18"/>
              </w:rPr>
              <w:t>Proprietary data + switching costs + embedded tech — distributable moat</w:t>
            </w:r>
          </w:p>
        </w:tc>
      </w:tr>
      <w:tr w:rsidR="00BE60F7" w14:paraId="4BAEFBBB" w14:textId="77777777">
        <w:tblPrEx>
          <w:tblCellMar>
            <w:top w:w="0" w:type="dxa"/>
            <w:bottom w:w="0" w:type="dxa"/>
          </w:tblCellMar>
        </w:tblPrEx>
        <w:tc>
          <w:tcPr>
            <w:tcW w:w="2160" w:type="dxa"/>
            <w:tcMar>
              <w:top w:w="120" w:type="dxa"/>
              <w:left w:w="160" w:type="dxa"/>
              <w:bottom w:w="120" w:type="dxa"/>
              <w:right w:w="160" w:type="dxa"/>
            </w:tcMar>
          </w:tcPr>
          <w:p w14:paraId="7B22D7CB" w14:textId="77777777" w:rsidR="00BE60F7" w:rsidRDefault="00000000">
            <w:r>
              <w:rPr>
                <w:rFonts w:ascii="Calibri" w:eastAsia="Calibri" w:hAnsi="Calibri" w:cs="Calibri"/>
                <w:color w:val="222222"/>
                <w:sz w:val="18"/>
                <w:szCs w:val="18"/>
              </w:rPr>
              <w:t>Price power signal</w:t>
            </w:r>
          </w:p>
        </w:tc>
        <w:tc>
          <w:tcPr>
            <w:tcW w:w="3600" w:type="dxa"/>
            <w:tcMar>
              <w:top w:w="120" w:type="dxa"/>
              <w:left w:w="160" w:type="dxa"/>
              <w:bottom w:w="120" w:type="dxa"/>
              <w:right w:w="160" w:type="dxa"/>
            </w:tcMar>
          </w:tcPr>
          <w:p w14:paraId="02BD8A40" w14:textId="77777777" w:rsidR="00BE60F7" w:rsidRDefault="00000000">
            <w:r>
              <w:rPr>
                <w:rFonts w:ascii="Calibri" w:eastAsia="Calibri" w:hAnsi="Calibri" w:cs="Calibri"/>
                <w:color w:val="222222"/>
                <w:sz w:val="18"/>
                <w:szCs w:val="18"/>
              </w:rPr>
              <w:t>Margin compression YoY (22.8% → 22.0% EBITDA)</w:t>
            </w:r>
          </w:p>
        </w:tc>
        <w:tc>
          <w:tcPr>
            <w:tcW w:w="3600" w:type="dxa"/>
            <w:tcMar>
              <w:top w:w="120" w:type="dxa"/>
              <w:left w:w="160" w:type="dxa"/>
              <w:bottom w:w="120" w:type="dxa"/>
              <w:right w:w="160" w:type="dxa"/>
            </w:tcMar>
          </w:tcPr>
          <w:p w14:paraId="3C6D6456" w14:textId="77777777" w:rsidR="00BE60F7" w:rsidRDefault="00000000">
            <w:r>
              <w:rPr>
                <w:rFonts w:ascii="Calibri" w:eastAsia="Calibri" w:hAnsi="Calibri" w:cs="Calibri"/>
                <w:color w:val="222222"/>
                <w:sz w:val="18"/>
                <w:szCs w:val="18"/>
              </w:rPr>
              <w:t xml:space="preserve">TAS and R&amp;DS margins </w:t>
            </w:r>
            <w:proofErr w:type="gramStart"/>
            <w:r>
              <w:rPr>
                <w:rFonts w:ascii="Calibri" w:eastAsia="Calibri" w:hAnsi="Calibri" w:cs="Calibri"/>
                <w:color w:val="222222"/>
                <w:sz w:val="18"/>
                <w:szCs w:val="18"/>
              </w:rPr>
              <w:t>broadly</w:t>
            </w:r>
            <w:proofErr w:type="gramEnd"/>
            <w:r>
              <w:rPr>
                <w:rFonts w:ascii="Calibri" w:eastAsia="Calibri" w:hAnsi="Calibri" w:cs="Calibri"/>
                <w:color w:val="222222"/>
                <w:sz w:val="18"/>
                <w:szCs w:val="18"/>
              </w:rPr>
              <w:t xml:space="preserve"> stable; book-to-bill ~1.19x</w:t>
            </w:r>
          </w:p>
        </w:tc>
      </w:tr>
      <w:tr w:rsidR="00BE60F7" w14:paraId="12B51DEE" w14:textId="77777777">
        <w:tblPrEx>
          <w:tblCellMar>
            <w:top w:w="0" w:type="dxa"/>
            <w:bottom w:w="0" w:type="dxa"/>
          </w:tblCellMar>
        </w:tblPrEx>
        <w:tc>
          <w:tcPr>
            <w:tcW w:w="2160" w:type="dxa"/>
            <w:tcMar>
              <w:top w:w="120" w:type="dxa"/>
              <w:left w:w="160" w:type="dxa"/>
              <w:bottom w:w="120" w:type="dxa"/>
              <w:right w:w="160" w:type="dxa"/>
            </w:tcMar>
          </w:tcPr>
          <w:p w14:paraId="12FC002A" w14:textId="77777777" w:rsidR="00BE60F7" w:rsidRDefault="00000000">
            <w:r>
              <w:rPr>
                <w:rFonts w:ascii="Calibri" w:eastAsia="Calibri" w:hAnsi="Calibri" w:cs="Calibri"/>
                <w:color w:val="222222"/>
                <w:sz w:val="18"/>
                <w:szCs w:val="18"/>
              </w:rPr>
              <w:t>AI disruption thesis</w:t>
            </w:r>
          </w:p>
        </w:tc>
        <w:tc>
          <w:tcPr>
            <w:tcW w:w="3600" w:type="dxa"/>
            <w:tcMar>
              <w:top w:w="120" w:type="dxa"/>
              <w:left w:w="160" w:type="dxa"/>
              <w:bottom w:w="120" w:type="dxa"/>
              <w:right w:w="160" w:type="dxa"/>
            </w:tcMar>
          </w:tcPr>
          <w:p w14:paraId="689F0CD1" w14:textId="77777777" w:rsidR="00BE60F7" w:rsidRDefault="00000000">
            <w:r>
              <w:rPr>
                <w:rFonts w:ascii="Calibri" w:eastAsia="Calibri" w:hAnsi="Calibri" w:cs="Calibri"/>
                <w:color w:val="222222"/>
                <w:sz w:val="18"/>
                <w:szCs w:val="18"/>
              </w:rPr>
              <w:t>LOW per-trial AI leverage; MEDIUM long-run displacement risk from AI-enabled entrants</w:t>
            </w:r>
          </w:p>
        </w:tc>
        <w:tc>
          <w:tcPr>
            <w:tcW w:w="3600" w:type="dxa"/>
            <w:tcMar>
              <w:top w:w="120" w:type="dxa"/>
              <w:left w:w="160" w:type="dxa"/>
              <w:bottom w:w="120" w:type="dxa"/>
              <w:right w:w="160" w:type="dxa"/>
            </w:tcMar>
          </w:tcPr>
          <w:p w14:paraId="38BBABA8" w14:textId="77777777" w:rsidR="00BE60F7" w:rsidRDefault="00000000">
            <w:r>
              <w:rPr>
                <w:rFonts w:ascii="Calibri" w:eastAsia="Calibri" w:hAnsi="Calibri" w:cs="Calibri"/>
                <w:color w:val="222222"/>
                <w:sz w:val="18"/>
                <w:szCs w:val="18"/>
              </w:rPr>
              <w:t>HIGH near-term AI monetization optionality; MEDIUM displacement risk from GenAI commoditization of analytics</w:t>
            </w:r>
          </w:p>
        </w:tc>
      </w:tr>
    </w:tbl>
    <w:p w14:paraId="4949FB64" w14:textId="77777777" w:rsidR="00BE60F7" w:rsidRDefault="00000000">
      <w:pPr>
        <w:pBdr>
          <w:bottom w:val="single" w:sz="6" w:space="2" w:color="888888"/>
        </w:pBdr>
        <w:spacing w:before="360" w:after="160"/>
      </w:pPr>
      <w:r>
        <w:rPr>
          <w:rFonts w:ascii="Calibri" w:eastAsia="Calibri" w:hAnsi="Calibri" w:cs="Calibri"/>
          <w:b/>
          <w:bCs/>
          <w:spacing w:val="30"/>
          <w:sz w:val="20"/>
          <w:szCs w:val="20"/>
        </w:rPr>
        <w:t>THE MEDPACE-SPECIFIC READ</w:t>
      </w:r>
    </w:p>
    <w:p w14:paraId="363E138E" w14:textId="77777777" w:rsidR="00BE60F7" w:rsidRDefault="00000000">
      <w:pPr>
        <w:spacing w:after="140" w:line="300" w:lineRule="auto"/>
      </w:pPr>
      <w:r>
        <w:t xml:space="preserve">The 4Q25 deck does not mention AI. For a company whose customer base is small biopharma — where the single largest operating expense is typically CRO spend — silence is a signal. Either </w:t>
      </w:r>
      <w:r>
        <w:lastRenderedPageBreak/>
        <w:t>Medpace sees its operational-craft moat as sufficient without AI commentary, or it has not yet built a narrative it can defend publicly.</w:t>
      </w:r>
    </w:p>
    <w:p w14:paraId="0680FB77" w14:textId="77777777" w:rsidR="00BE60F7" w:rsidRDefault="00000000">
      <w:pPr>
        <w:spacing w:after="140" w:line="300" w:lineRule="auto"/>
      </w:pPr>
      <w:r>
        <w:t>A functional AI buildout at Medpace would show up in three places: (a) a step-change in direct service margin (flat-to-up, not the observed 80 bps compression), (b) faster backlog conversion without revenue growth acceleration (observed in 2025 — 18.3% → 23.6% — but unattributed), (c) productivity commentary in the MD&amp;A. Only (b) is observable on the deck, and it is not framed as AI-driven.</w:t>
      </w:r>
    </w:p>
    <w:p w14:paraId="1D3BC5A5" w14:textId="77777777" w:rsidR="00BE60F7" w:rsidRDefault="00000000">
      <w:pPr>
        <w:spacing w:after="140" w:line="300" w:lineRule="auto"/>
      </w:pPr>
      <w:r>
        <w:t xml:space="preserve">The most likely honest read: Medpace is quietly deploying AI internally for document preparation and protocol review, capturing the margin benefit without drawing attention to it — because a visible AI narrative would invite customers to ask for price concessions. That is rational. But it also means the productivity upside is not in </w:t>
      </w:r>
      <w:proofErr w:type="gramStart"/>
      <w:r>
        <w:t>the valuation</w:t>
      </w:r>
      <w:proofErr w:type="gramEnd"/>
      <w:r>
        <w:t>.</w:t>
      </w:r>
    </w:p>
    <w:p w14:paraId="191A1460" w14:textId="77777777" w:rsidR="00BE60F7" w:rsidRDefault="00000000">
      <w:pPr>
        <w:pBdr>
          <w:bottom w:val="single" w:sz="6" w:space="2" w:color="888888"/>
        </w:pBdr>
        <w:spacing w:before="360" w:after="160"/>
      </w:pPr>
      <w:r>
        <w:rPr>
          <w:rFonts w:ascii="Calibri" w:eastAsia="Calibri" w:hAnsi="Calibri" w:cs="Calibri"/>
          <w:b/>
          <w:bCs/>
          <w:spacing w:val="30"/>
          <w:sz w:val="20"/>
          <w:szCs w:val="20"/>
        </w:rPr>
        <w:t>THE IQVIA-SPECIFIC READ</w:t>
      </w:r>
    </w:p>
    <w:p w14:paraId="188C5AA7" w14:textId="77777777" w:rsidR="00BE60F7" w:rsidRDefault="00000000">
      <w:pPr>
        <w:spacing w:after="140" w:line="300" w:lineRule="auto"/>
      </w:pPr>
      <w:r>
        <w:t xml:space="preserve">IQVIA is pursuing the opposite strategy: high-visibility AI partnerships, dozens of GenAI pilot announcements, and explicit margin commentary on AI-driven efficiencies. That positioning is coherent with a </w:t>
      </w:r>
      <w:proofErr w:type="gramStart"/>
      <w:r>
        <w:t>sell</w:t>
      </w:r>
      <w:proofErr w:type="gramEnd"/>
      <w:r>
        <w:t xml:space="preserve">-motion that includes software. IQVIA needs customers to believe that "IQVIA + AI" is better than "consulting firm + AI." </w:t>
      </w:r>
      <w:proofErr w:type="gramStart"/>
      <w:r>
        <w:t>Therefore</w:t>
      </w:r>
      <w:proofErr w:type="gramEnd"/>
      <w:r>
        <w:t xml:space="preserve"> the narrative visibility is itself part of the product.</w:t>
      </w:r>
    </w:p>
    <w:p w14:paraId="5B7E7FD9" w14:textId="77777777" w:rsidR="00BE60F7" w:rsidRDefault="00000000">
      <w:pPr>
        <w:spacing w:after="140" w:line="300" w:lineRule="auto"/>
      </w:pPr>
      <w:r>
        <w:t>The risk for IQVIA is not AI disruption — it is AI commoditization of the analytics layer while the data layer loses its scarcity premium. If federated learning across pharma customers becomes the standard consent architecture, IQVIA's data arbitrage narrows. That is a multi-year risk, not a 2026 risk.</w:t>
      </w:r>
    </w:p>
    <w:p w14:paraId="1EFB971A" w14:textId="77777777" w:rsidR="00BE60F7" w:rsidRDefault="00000000">
      <w:pPr>
        <w:pBdr>
          <w:bottom w:val="single" w:sz="6" w:space="2" w:color="888888"/>
        </w:pBdr>
        <w:spacing w:before="360" w:after="160"/>
      </w:pPr>
      <w:r>
        <w:rPr>
          <w:rFonts w:ascii="Calibri" w:eastAsia="Calibri" w:hAnsi="Calibri" w:cs="Calibri"/>
          <w:b/>
          <w:bCs/>
          <w:spacing w:val="30"/>
          <w:sz w:val="20"/>
          <w:szCs w:val="20"/>
        </w:rPr>
        <w:t>INVESTMENT IMPLICATION</w:t>
      </w:r>
    </w:p>
    <w:p w14:paraId="34E0902C" w14:textId="77777777" w:rsidR="00BE60F7" w:rsidRDefault="00000000">
      <w:pPr>
        <w:pBdr>
          <w:left w:val="single" w:sz="18" w:space="14" w:color="A61B1B"/>
        </w:pBdr>
        <w:spacing w:before="140" w:after="180" w:line="320" w:lineRule="auto"/>
        <w:ind w:left="260"/>
      </w:pPr>
      <w:r>
        <w:rPr>
          <w:i/>
          <w:iCs/>
          <w:color w:val="333333"/>
          <w:sz w:val="26"/>
          <w:szCs w:val="26"/>
        </w:rPr>
        <w:t xml:space="preserve">AI shifts value from labor to data in the CRO complex. Medpace </w:t>
      </w:r>
      <w:proofErr w:type="gramStart"/>
      <w:r>
        <w:rPr>
          <w:i/>
          <w:iCs/>
          <w:color w:val="333333"/>
          <w:sz w:val="26"/>
          <w:szCs w:val="26"/>
        </w:rPr>
        <w:t>owns</w:t>
      </w:r>
      <w:proofErr w:type="gramEnd"/>
      <w:r>
        <w:rPr>
          <w:i/>
          <w:iCs/>
          <w:color w:val="333333"/>
          <w:sz w:val="26"/>
          <w:szCs w:val="26"/>
        </w:rPr>
        <w:t xml:space="preserve"> the sharpest version of </w:t>
      </w:r>
      <w:proofErr w:type="gramStart"/>
      <w:r>
        <w:rPr>
          <w:i/>
          <w:iCs/>
          <w:color w:val="333333"/>
          <w:sz w:val="26"/>
          <w:szCs w:val="26"/>
        </w:rPr>
        <w:t>the labor</w:t>
      </w:r>
      <w:proofErr w:type="gramEnd"/>
      <w:r>
        <w:rPr>
          <w:i/>
          <w:iCs/>
          <w:color w:val="333333"/>
          <w:sz w:val="26"/>
          <w:szCs w:val="26"/>
        </w:rPr>
        <w:t>. IQVIA owns the data. The long-run risk-reward skews toward IQVIA if you believe AI compresses CRO services pricing, and toward Medpace if you believe therapeutic craft remains defensible.</w:t>
      </w:r>
    </w:p>
    <w:p w14:paraId="2607A5A7" w14:textId="77777777" w:rsidR="00BE60F7" w:rsidRDefault="00000000">
      <w:pPr>
        <w:spacing w:after="140" w:line="300" w:lineRule="auto"/>
      </w:pPr>
      <w:r>
        <w:t>Two complementary positions are defensible: (1) long IQVIA on data-moat optionality with near-term AI monetization, short or underweight a labor-heavy commodity CRO, or (2) long Medpace on operational-craft durability and small-biopharma funding recovery, paired with a short on over-hyped AI-narrative CROs whose economics do not yet support the valuations.</w:t>
      </w:r>
    </w:p>
    <w:p w14:paraId="0E6ABDF4" w14:textId="77777777" w:rsidR="00BE60F7" w:rsidRDefault="00000000">
      <w:pPr>
        <w:spacing w:after="140" w:line="300" w:lineRule="auto"/>
      </w:pPr>
      <w:r>
        <w:t xml:space="preserve">The pair-trade framing — long Medpace vs short IQVIA, or long IQVIA vs short Medpace — is analytically wrong. These are different businesses with different AI exposures. The intellectually </w:t>
      </w:r>
      <w:r>
        <w:lastRenderedPageBreak/>
        <w:t xml:space="preserve">honest choice is to own both for different reasons, </w:t>
      </w:r>
      <w:proofErr w:type="gramStart"/>
      <w:r>
        <w:t>or</w:t>
      </w:r>
      <w:proofErr w:type="gramEnd"/>
      <w:r>
        <w:t xml:space="preserve"> to own neither until AI's impact on CRO pricing is observable in backlog margin mix.</w:t>
      </w:r>
    </w:p>
    <w:p w14:paraId="3005FBA7" w14:textId="77777777" w:rsidR="00BE60F7" w:rsidRDefault="00000000">
      <w:pPr>
        <w:pBdr>
          <w:bottom w:val="single" w:sz="6" w:space="2" w:color="888888"/>
        </w:pBdr>
        <w:spacing w:before="360" w:after="160"/>
      </w:pPr>
      <w:r>
        <w:rPr>
          <w:rFonts w:ascii="Calibri" w:eastAsia="Calibri" w:hAnsi="Calibri" w:cs="Calibri"/>
          <w:b/>
          <w:bCs/>
          <w:spacing w:val="30"/>
          <w:sz w:val="20"/>
          <w:szCs w:val="20"/>
        </w:rPr>
        <w:t>WATCHLIST FOR THE NEXT QUARTER</w:t>
      </w:r>
    </w:p>
    <w:p w14:paraId="7094107A" w14:textId="77777777" w:rsidR="00BE60F7" w:rsidRDefault="00000000">
      <w:pPr>
        <w:pStyle w:val="ListParagraph"/>
        <w:numPr>
          <w:ilvl w:val="0"/>
          <w:numId w:val="2"/>
        </w:numPr>
        <w:spacing w:after="80" w:line="300" w:lineRule="auto"/>
      </w:pPr>
      <w:r>
        <w:t>Medpace 10-K: language on AI in "Human Capital" and "R&amp;D/Technology" sections</w:t>
      </w:r>
    </w:p>
    <w:p w14:paraId="7B491E37" w14:textId="77777777" w:rsidR="00BE60F7" w:rsidRDefault="00000000">
      <w:pPr>
        <w:pStyle w:val="ListParagraph"/>
        <w:numPr>
          <w:ilvl w:val="0"/>
          <w:numId w:val="2"/>
        </w:numPr>
        <w:spacing w:after="80" w:line="300" w:lineRule="auto"/>
      </w:pPr>
      <w:r>
        <w:t>IQVIA TAS segment margin trajectory and any commentary on GenAI-pricing dynamics</w:t>
      </w:r>
    </w:p>
    <w:p w14:paraId="3F191499" w14:textId="77777777" w:rsidR="00BE60F7" w:rsidRDefault="00000000">
      <w:pPr>
        <w:pStyle w:val="ListParagraph"/>
        <w:numPr>
          <w:ilvl w:val="0"/>
          <w:numId w:val="2"/>
        </w:numPr>
        <w:spacing w:after="80" w:line="300" w:lineRule="auto"/>
      </w:pPr>
      <w:r>
        <w:t xml:space="preserve">ICON Plc and </w:t>
      </w:r>
      <w:proofErr w:type="spellStart"/>
      <w:r>
        <w:t>Syneos</w:t>
      </w:r>
      <w:proofErr w:type="spellEnd"/>
      <w:r>
        <w:t>/</w:t>
      </w:r>
      <w:proofErr w:type="spellStart"/>
      <w:r>
        <w:t>Fortrea</w:t>
      </w:r>
      <w:proofErr w:type="spellEnd"/>
      <w:r>
        <w:t xml:space="preserve"> commentary — useful triangulation points on industry-wide AI monetization</w:t>
      </w:r>
    </w:p>
    <w:p w14:paraId="40380BB9" w14:textId="77777777" w:rsidR="00BE60F7" w:rsidRDefault="00000000">
      <w:pPr>
        <w:pStyle w:val="ListParagraph"/>
        <w:numPr>
          <w:ilvl w:val="0"/>
          <w:numId w:val="2"/>
        </w:numPr>
        <w:spacing w:after="80" w:line="300" w:lineRule="auto"/>
      </w:pPr>
      <w:r>
        <w:t>Any CRO disclosure of AI-displaced headcount, which would indicate the productivity story is real</w:t>
      </w:r>
    </w:p>
    <w:p w14:paraId="41267F64" w14:textId="77777777" w:rsidR="00BE60F7" w:rsidRDefault="00000000">
      <w:pPr>
        <w:pStyle w:val="ListParagraph"/>
        <w:numPr>
          <w:ilvl w:val="0"/>
          <w:numId w:val="2"/>
        </w:numPr>
        <w:spacing w:after="80" w:line="300" w:lineRule="auto"/>
      </w:pPr>
      <w:proofErr w:type="spellStart"/>
      <w:r>
        <w:t>OpenEvidence</w:t>
      </w:r>
      <w:proofErr w:type="spellEnd"/>
      <w:r>
        <w:t xml:space="preserve"> and similar clinical-decision-support platforms — downstream indicators of physician time reallocation that eventually reshape trial-site economics</w:t>
      </w:r>
    </w:p>
    <w:p w14:paraId="7CF1E83B" w14:textId="77777777" w:rsidR="00BE60F7" w:rsidRDefault="00000000">
      <w:pPr>
        <w:pBdr>
          <w:top w:val="single" w:sz="6" w:space="6" w:color="CFC8BA"/>
        </w:pBdr>
        <w:spacing w:before="320" w:after="40"/>
      </w:pPr>
      <w:r>
        <w:rPr>
          <w:rFonts w:ascii="Calibri" w:eastAsia="Calibri" w:hAnsi="Calibri" w:cs="Calibri"/>
          <w:i/>
          <w:iCs/>
          <w:color w:val="6B7075"/>
          <w:sz w:val="16"/>
          <w:szCs w:val="16"/>
        </w:rPr>
        <w:t xml:space="preserve">Companion </w:t>
      </w:r>
      <w:proofErr w:type="gramStart"/>
      <w:r>
        <w:rPr>
          <w:rFonts w:ascii="Calibri" w:eastAsia="Calibri" w:hAnsi="Calibri" w:cs="Calibri"/>
          <w:i/>
          <w:iCs/>
          <w:color w:val="6B7075"/>
          <w:sz w:val="16"/>
          <w:szCs w:val="16"/>
        </w:rPr>
        <w:t>note</w:t>
      </w:r>
      <w:proofErr w:type="gramEnd"/>
      <w:r>
        <w:rPr>
          <w:rFonts w:ascii="Calibri" w:eastAsia="Calibri" w:hAnsi="Calibri" w:cs="Calibri"/>
          <w:i/>
          <w:iCs/>
          <w:color w:val="6B7075"/>
          <w:sz w:val="16"/>
          <w:szCs w:val="16"/>
        </w:rPr>
        <w:t xml:space="preserve"> to the Medpace Q4 2025 filing-reality-check. All Medpace figures source-locked </w:t>
      </w:r>
      <w:proofErr w:type="gramStart"/>
      <w:r>
        <w:rPr>
          <w:rFonts w:ascii="Calibri" w:eastAsia="Calibri" w:hAnsi="Calibri" w:cs="Calibri"/>
          <w:i/>
          <w:iCs/>
          <w:color w:val="6B7075"/>
          <w:sz w:val="16"/>
          <w:szCs w:val="16"/>
        </w:rPr>
        <w:t>to</w:t>
      </w:r>
      <w:proofErr w:type="gramEnd"/>
      <w:r>
        <w:rPr>
          <w:rFonts w:ascii="Calibri" w:eastAsia="Calibri" w:hAnsi="Calibri" w:cs="Calibri"/>
          <w:i/>
          <w:iCs/>
          <w:color w:val="6B7075"/>
          <w:sz w:val="16"/>
          <w:szCs w:val="16"/>
        </w:rPr>
        <w:t xml:space="preserve"> the 4Q25 earnings presentation; IQVIA figures drawn from generally available company disclosures and should be verified against the most recent 10-K before use in any investment decision. Analytical framework, not investment advice. Prepared 19 April 2026.</w:t>
      </w:r>
    </w:p>
    <w:sectPr w:rsidR="00BE60F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32EB" w14:textId="77777777" w:rsidR="008B0CFF" w:rsidRDefault="008B0CFF">
      <w:r>
        <w:separator/>
      </w:r>
    </w:p>
  </w:endnote>
  <w:endnote w:type="continuationSeparator" w:id="0">
    <w:p w14:paraId="3BBD0EB8" w14:textId="77777777" w:rsidR="008B0CFF" w:rsidRDefault="008B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346E5" w14:textId="77777777" w:rsidR="00BE60F7" w:rsidRDefault="00000000">
    <w:pPr>
      <w:jc w:val="right"/>
    </w:pPr>
    <w:r>
      <w:rPr>
        <w:rFonts w:ascii="Calibri" w:eastAsia="Calibri" w:hAnsi="Calibri" w:cs="Calibri"/>
        <w:color w:val="6B7075"/>
        <w:sz w:val="16"/>
        <w:szCs w:val="16"/>
      </w:rPr>
      <w:t xml:space="preserve">Medpace vs IQVIA — AI Exposure   |   </w:t>
    </w:r>
    <w:r>
      <w:rPr>
        <w:rFonts w:ascii="Calibri" w:eastAsia="Calibri" w:hAnsi="Calibri" w:cs="Calibri"/>
        <w:color w:val="6B7075"/>
        <w:sz w:val="16"/>
        <w:szCs w:val="16"/>
      </w:rPr>
      <w:fldChar w:fldCharType="begin"/>
    </w:r>
    <w:r>
      <w:rPr>
        <w:rFonts w:ascii="Calibri" w:eastAsia="Calibri" w:hAnsi="Calibri" w:cs="Calibri"/>
        <w:color w:val="6B7075"/>
        <w:sz w:val="16"/>
        <w:szCs w:val="16"/>
      </w:rPr>
      <w:instrText>PAGE</w:instrText>
    </w:r>
    <w:r>
      <w:rPr>
        <w:rFonts w:ascii="Calibri" w:eastAsia="Calibri" w:hAnsi="Calibri" w:cs="Calibri"/>
        <w:color w:val="6B7075"/>
        <w:sz w:val="16"/>
        <w:szCs w:val="16"/>
      </w:rPr>
      <w:fldChar w:fldCharType="separate"/>
    </w:r>
    <w:r w:rsidR="00843047">
      <w:rPr>
        <w:rFonts w:ascii="Calibri" w:eastAsia="Calibri" w:hAnsi="Calibri" w:cs="Calibri"/>
        <w:noProof/>
        <w:color w:val="6B7075"/>
        <w:sz w:val="16"/>
        <w:szCs w:val="16"/>
      </w:rPr>
      <w:t>1</w:t>
    </w:r>
    <w:r>
      <w:rPr>
        <w:rFonts w:ascii="Calibri" w:eastAsia="Calibri" w:hAnsi="Calibri" w:cs="Calibri"/>
        <w:color w:val="6B7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D944A" w14:textId="77777777" w:rsidR="008B0CFF" w:rsidRDefault="008B0CFF">
      <w:r>
        <w:separator/>
      </w:r>
    </w:p>
  </w:footnote>
  <w:footnote w:type="continuationSeparator" w:id="0">
    <w:p w14:paraId="0BC529F8" w14:textId="77777777" w:rsidR="008B0CFF" w:rsidRDefault="008B0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44E"/>
    <w:multiLevelType w:val="hybridMultilevel"/>
    <w:tmpl w:val="57806568"/>
    <w:lvl w:ilvl="0" w:tplc="AC7E04CA">
      <w:start w:val="1"/>
      <w:numFmt w:val="bullet"/>
      <w:lvlText w:val="•"/>
      <w:lvlJc w:val="left"/>
      <w:pPr>
        <w:ind w:left="520" w:hanging="260"/>
      </w:pPr>
    </w:lvl>
    <w:lvl w:ilvl="1" w:tplc="0AE66780">
      <w:numFmt w:val="decimal"/>
      <w:lvlText w:val=""/>
      <w:lvlJc w:val="left"/>
    </w:lvl>
    <w:lvl w:ilvl="2" w:tplc="0DA83E32">
      <w:numFmt w:val="decimal"/>
      <w:lvlText w:val=""/>
      <w:lvlJc w:val="left"/>
    </w:lvl>
    <w:lvl w:ilvl="3" w:tplc="6308B012">
      <w:numFmt w:val="decimal"/>
      <w:lvlText w:val=""/>
      <w:lvlJc w:val="left"/>
    </w:lvl>
    <w:lvl w:ilvl="4" w:tplc="2F6226A8">
      <w:numFmt w:val="decimal"/>
      <w:lvlText w:val=""/>
      <w:lvlJc w:val="left"/>
    </w:lvl>
    <w:lvl w:ilvl="5" w:tplc="6434912C">
      <w:numFmt w:val="decimal"/>
      <w:lvlText w:val=""/>
      <w:lvlJc w:val="left"/>
    </w:lvl>
    <w:lvl w:ilvl="6" w:tplc="D56C4222">
      <w:numFmt w:val="decimal"/>
      <w:lvlText w:val=""/>
      <w:lvlJc w:val="left"/>
    </w:lvl>
    <w:lvl w:ilvl="7" w:tplc="79DE9672">
      <w:numFmt w:val="decimal"/>
      <w:lvlText w:val=""/>
      <w:lvlJc w:val="left"/>
    </w:lvl>
    <w:lvl w:ilvl="8" w:tplc="1BC006EE">
      <w:numFmt w:val="decimal"/>
      <w:lvlText w:val=""/>
      <w:lvlJc w:val="left"/>
    </w:lvl>
  </w:abstractNum>
  <w:abstractNum w:abstractNumId="1" w15:restartNumberingAfterBreak="0">
    <w:nsid w:val="303B00C6"/>
    <w:multiLevelType w:val="hybridMultilevel"/>
    <w:tmpl w:val="C84E05EE"/>
    <w:lvl w:ilvl="0" w:tplc="F9CEEE5C">
      <w:start w:val="1"/>
      <w:numFmt w:val="bullet"/>
      <w:lvlText w:val="●"/>
      <w:lvlJc w:val="left"/>
      <w:pPr>
        <w:ind w:left="720" w:hanging="360"/>
      </w:pPr>
    </w:lvl>
    <w:lvl w:ilvl="1" w:tplc="E4C2A354">
      <w:start w:val="1"/>
      <w:numFmt w:val="bullet"/>
      <w:lvlText w:val="○"/>
      <w:lvlJc w:val="left"/>
      <w:pPr>
        <w:ind w:left="1440" w:hanging="360"/>
      </w:pPr>
    </w:lvl>
    <w:lvl w:ilvl="2" w:tplc="7F2AFA04">
      <w:start w:val="1"/>
      <w:numFmt w:val="bullet"/>
      <w:lvlText w:val="■"/>
      <w:lvlJc w:val="left"/>
      <w:pPr>
        <w:ind w:left="2160" w:hanging="360"/>
      </w:pPr>
    </w:lvl>
    <w:lvl w:ilvl="3" w:tplc="1828138A">
      <w:start w:val="1"/>
      <w:numFmt w:val="bullet"/>
      <w:lvlText w:val="●"/>
      <w:lvlJc w:val="left"/>
      <w:pPr>
        <w:ind w:left="2880" w:hanging="360"/>
      </w:pPr>
    </w:lvl>
    <w:lvl w:ilvl="4" w:tplc="1082AF30">
      <w:start w:val="1"/>
      <w:numFmt w:val="bullet"/>
      <w:lvlText w:val="○"/>
      <w:lvlJc w:val="left"/>
      <w:pPr>
        <w:ind w:left="3600" w:hanging="360"/>
      </w:pPr>
    </w:lvl>
    <w:lvl w:ilvl="5" w:tplc="385A27F0">
      <w:start w:val="1"/>
      <w:numFmt w:val="bullet"/>
      <w:lvlText w:val="■"/>
      <w:lvlJc w:val="left"/>
      <w:pPr>
        <w:ind w:left="4320" w:hanging="360"/>
      </w:pPr>
    </w:lvl>
    <w:lvl w:ilvl="6" w:tplc="6C08DB2E">
      <w:start w:val="1"/>
      <w:numFmt w:val="bullet"/>
      <w:lvlText w:val="●"/>
      <w:lvlJc w:val="left"/>
      <w:pPr>
        <w:ind w:left="5040" w:hanging="360"/>
      </w:pPr>
    </w:lvl>
    <w:lvl w:ilvl="7" w:tplc="F1141F0C">
      <w:start w:val="1"/>
      <w:numFmt w:val="bullet"/>
      <w:lvlText w:val="●"/>
      <w:lvlJc w:val="left"/>
      <w:pPr>
        <w:ind w:left="5760" w:hanging="360"/>
      </w:pPr>
    </w:lvl>
    <w:lvl w:ilvl="8" w:tplc="887C62F0">
      <w:start w:val="1"/>
      <w:numFmt w:val="bullet"/>
      <w:lvlText w:val="●"/>
      <w:lvlJc w:val="left"/>
      <w:pPr>
        <w:ind w:left="6480" w:hanging="360"/>
      </w:pPr>
    </w:lvl>
  </w:abstractNum>
  <w:num w:numId="1" w16cid:durableId="1755738361">
    <w:abstractNumId w:val="1"/>
    <w:lvlOverride w:ilvl="0">
      <w:startOverride w:val="1"/>
    </w:lvlOverride>
  </w:num>
  <w:num w:numId="2" w16cid:durableId="375549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0F7"/>
    <w:rsid w:val="00843047"/>
    <w:rsid w:val="00872D86"/>
    <w:rsid w:val="008B0CFF"/>
    <w:rsid w:val="00BE6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366F"/>
  <w15:docId w15:val="{7122A0CF-B9D2-4D0D-8C92-F44CE183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1133</Words>
  <Characters>6710</Characters>
  <Application>Microsoft Office Word</Application>
  <DocSecurity>0</DocSecurity>
  <Lines>135</Lines>
  <Paragraphs>64</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Medpace vs IQVIA — AI Exposure Note</dc:title>
  <dc:creator>Claude</dc:creator>
  <cp:lastModifiedBy>ampsson ampsson</cp:lastModifiedBy>
  <cp:revision>2</cp:revision>
  <dcterms:created xsi:type="dcterms:W3CDTF">2026-04-20T04:23:00Z</dcterms:created>
  <dcterms:modified xsi:type="dcterms:W3CDTF">2026-04-20T05:39:00Z</dcterms:modified>
</cp:coreProperties>
</file>