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3A5C"/>
          <w:sz w:val="40"/>
          <w:szCs w:val="40"/>
        </w:rPr>
        <w:t xml:space="preserve">BIOTECH SCUTTLEBUTT SCANNER</w:t>
      </w:r>
    </w:p>
    <w:p>
      <w:pPr>
        <w:spacing w:after="80"/>
        <w:jc w:val="center"/>
      </w:pPr>
      <w:r>
        <w:rPr>
          <w:rFonts w:ascii="Arial" w:cs="Arial" w:eastAsia="Arial" w:hAnsi="Arial"/>
          <w:color w:val="2E5A88"/>
          <w:sz w:val="28"/>
          <w:szCs w:val="28"/>
        </w:rPr>
        <w:t xml:space="preserve">Daily Intelligence Report</w:t>
      </w:r>
    </w:p>
    <w:p>
      <w:pPr>
        <w:pBdr>
          <w:bottom w:val="single" w:color="1B3A5C" w:sz="6" w:space="8"/>
        </w:pBdr>
        <w:spacing w:after="400"/>
        <w:jc w:val="center"/>
      </w:pPr>
      <w:r>
        <w:rPr>
          <w:rFonts w:ascii="Arial" w:cs="Arial" w:eastAsia="Arial" w:hAnsi="Arial"/>
          <w:color w:val="666666"/>
          <w:sz w:val="22"/>
          <w:szCs w:val="22"/>
        </w:rPr>
        <w:t xml:space="preserve">April 15, 2026</w:t>
      </w:r>
    </w:p>
    <w:p>
      <w:pPr>
        <w:pStyle w:val="Heading1"/>
      </w:pPr>
      <w:r>
        <w:t xml:space="preserve">Executive Summary</w:t>
      </w:r>
    </w:p>
    <w:p>
      <w:pPr>
        <w:spacing w:after="200"/>
      </w:pPr>
      <w:r>
        <w:rPr>
          <w:rFonts w:ascii="Arial" w:cs="Arial" w:eastAsia="Arial" w:hAnsi="Arial"/>
          <w:sz w:val="22"/>
          <w:szCs w:val="22"/>
        </w:rPr>
        <w:t xml:space="preserve">Today's scan identified </w:t>
      </w:r>
      <w:r>
        <w:rPr>
          <w:rFonts w:ascii="Arial" w:cs="Arial" w:eastAsia="Arial" w:hAnsi="Arial"/>
          <w:b/>
          <w:bCs/>
          <w:color w:val="CC0000"/>
          <w:sz w:val="22"/>
          <w:szCs w:val="22"/>
        </w:rPr>
        <w:t xml:space="preserve">4 HIGH-signal</w:t>
      </w:r>
      <w:r>
        <w:rPr>
          <w:rFonts w:ascii="Arial" w:cs="Arial" w:eastAsia="Arial" w:hAnsi="Arial"/>
          <w:sz w:val="22"/>
          <w:szCs w:val="22"/>
        </w:rPr>
        <w:t xml:space="preserve"> and </w:t>
      </w:r>
      <w:r>
        <w:rPr>
          <w:rFonts w:ascii="Arial" w:cs="Arial" w:eastAsia="Arial" w:hAnsi="Arial"/>
          <w:b/>
          <w:bCs/>
          <w:color w:val="CC8800"/>
          <w:sz w:val="22"/>
          <w:szCs w:val="22"/>
        </w:rPr>
        <w:t xml:space="preserve">8 MEDIUM-signal</w:t>
      </w:r>
      <w:r>
        <w:rPr>
          <w:rFonts w:ascii="Arial" w:cs="Arial" w:eastAsia="Arial" w:hAnsi="Arial"/>
          <w:sz w:val="22"/>
          <w:szCs w:val="22"/>
        </w:rPr>
        <w:t xml:space="preserve"> biotech stocks across volume/price movers, FDA catalysts, insider buying, and clinical trial readouts. Key highlights: Allogene (ALLO) reported positive ALPHA3 trial data on Apr 13 with 58.3% MRD clearance; Axsome (AXSM) has a critical PDUFA date on Apr 30 for Alzheimer's agitation; Ligand (LGND) surged 7.9% and Travere (TVTX) surged 34% after full FDA approval for FILSPARI in FSGS; and Denali (DNLI) is in commercial launch after AVLAYAH approval on Mar 25. The AACR Annual Meeting (Apr 17-22) starts this week in San Diego with major oncology data presentations. Unusual options activity flagged bearish positioning on Bio-Techne (TECH) with 454% above-average put volume.</w:t>
      </w:r>
    </w:p>
    <w:p>
      <w:pPr>
        <w:pStyle w:val="Heading1"/>
      </w:pPr>
      <w:r>
        <w:t xml:space="preserve">HIGH SIGNAL ALERTS</w:t>
      </w:r>
    </w:p>
    <w:p>
      <w:pPr>
        <w:spacing w:after="200"/>
      </w:pPr>
      <w:r>
        <w:rPr>
          <w:rFonts w:ascii="Arial" w:cs="Arial" w:eastAsia="Arial" w:hAnsi="Arial"/>
          <w:i/>
          <w:iCs/>
          <w:color w:val="666666"/>
          <w:sz w:val="20"/>
          <w:szCs w:val="20"/>
        </w:rPr>
        <w:t xml:space="preserve">Stocks with volume &gt;3x average, price move &gt;20%, or imminent major catalysts: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100"/>
        <w:gridCol w:w="1000"/>
        <w:gridCol w:w="1260"/>
        <w:gridCol w:w="3200"/>
      </w:tblGrid>
      <w:tr>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Ticker</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Company</w:t>
            </w:r>
          </w:p>
        </w:tc>
        <w:tc>
          <w:tcPr>
            <w:tcW w:type="dxa" w:w="11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Price</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Signal</w:t>
            </w:r>
          </w:p>
        </w:tc>
        <w:tc>
          <w:tcPr>
            <w:tcW w:type="dxa" w:w="12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Volume</w:t>
            </w:r>
          </w:p>
        </w:tc>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Catalyst / Notes</w:t>
            </w:r>
          </w:p>
        </w:tc>
      </w:tr>
      <w:tr>
        <w:tc>
          <w:tcPr>
            <w:tcW w:type="dxa" w:w="12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r>
              <w:rPr>
                <w:rFonts w:ascii="Arial" w:cs="Arial" w:eastAsia="Arial" w:hAnsi="Arial"/>
                <w:sz w:val="18"/>
                <w:szCs w:val="18"/>
              </w:rPr>
              <w:t xml:space="preserve">ALLO</w:t>
            </w:r>
          </w:p>
        </w:tc>
        <w:tc>
          <w:tcPr>
            <w:tcW w:type="dxa" w:w="16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r>
              <w:rPr>
                <w:rFonts w:ascii="Arial" w:cs="Arial" w:eastAsia="Arial" w:hAnsi="Arial"/>
                <w:sz w:val="18"/>
                <w:szCs w:val="18"/>
              </w:rPr>
              <w:t xml:space="preserve">Allogene Therapeutics</w:t>
            </w:r>
          </w:p>
        </w:tc>
        <w:tc>
          <w:tcPr>
            <w:tcW w:type="dxa" w:w="11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r>
              <w:rPr>
                <w:rFonts w:ascii="Arial" w:cs="Arial" w:eastAsia="Arial" w:hAnsi="Arial"/>
                <w:sz w:val="18"/>
                <w:szCs w:val="18"/>
              </w:rPr>
              <w:t xml:space="preserve">~$5-6</w:t>
            </w:r>
          </w:p>
        </w:tc>
        <w:tc>
          <w:tcPr>
            <w:tcW w:type="dxa" w:w="10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r>
              <w:rPr>
                <w:rFonts w:ascii="Arial" w:cs="Arial" w:eastAsia="Arial" w:hAnsi="Arial"/>
                <w:sz w:val="18"/>
                <w:szCs w:val="18"/>
              </w:rPr>
              <w:t xml:space="preserve">HIGH</w:t>
            </w:r>
          </w:p>
        </w:tc>
        <w:tc>
          <w:tcPr>
            <w:tcW w:type="dxa" w:w="126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r>
              <w:rPr>
                <w:rFonts w:ascii="Arial" w:cs="Arial" w:eastAsia="Arial" w:hAnsi="Arial"/>
                <w:sz w:val="18"/>
                <w:szCs w:val="18"/>
              </w:rPr>
              <w:t xml:space="preserve">Spike</w:t>
            </w:r>
          </w:p>
        </w:tc>
        <w:tc>
          <w:tcPr>
            <w:tcW w:type="dxa" w:w="32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r>
              <w:rPr>
                <w:rFonts w:ascii="Arial" w:cs="Arial" w:eastAsia="Arial" w:hAnsi="Arial"/>
                <w:sz w:val="18"/>
                <w:szCs w:val="18"/>
              </w:rPr>
              <w:t xml:space="preserve">ALPHA3 pivotal trial: 58.3% MRD clearance vs 16.7% observation (Apr 13). Stock jumped on data.</w:t>
            </w:r>
          </w:p>
        </w:tc>
      </w:tr>
      <w:tr>
        <w:tc>
          <w:tcPr>
            <w:tcW w:type="dxa" w:w="12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r>
              <w:rPr>
                <w:rFonts w:ascii="Arial" w:cs="Arial" w:eastAsia="Arial" w:hAnsi="Arial"/>
                <w:sz w:val="18"/>
                <w:szCs w:val="18"/>
              </w:rPr>
              <w:t xml:space="preserve">AXSM</w:t>
            </w:r>
          </w:p>
        </w:tc>
        <w:tc>
          <w:tcPr>
            <w:tcW w:type="dxa" w:w="16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r>
              <w:rPr>
                <w:rFonts w:ascii="Arial" w:cs="Arial" w:eastAsia="Arial" w:hAnsi="Arial"/>
                <w:sz w:val="18"/>
                <w:szCs w:val="18"/>
              </w:rPr>
              <w:t xml:space="preserve">Axsome Therapeutics</w:t>
            </w:r>
          </w:p>
        </w:tc>
        <w:tc>
          <w:tcPr>
            <w:tcW w:type="dxa" w:w="11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r>
              <w:rPr>
                <w:rFonts w:ascii="Arial" w:cs="Arial" w:eastAsia="Arial" w:hAnsi="Arial"/>
                <w:sz w:val="18"/>
                <w:szCs w:val="18"/>
              </w:rPr>
              <w:t xml:space="preserve">~$115+</w:t>
            </w:r>
          </w:p>
        </w:tc>
        <w:tc>
          <w:tcPr>
            <w:tcW w:type="dxa" w:w="10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r>
              <w:rPr>
                <w:rFonts w:ascii="Arial" w:cs="Arial" w:eastAsia="Arial" w:hAnsi="Arial"/>
                <w:sz w:val="18"/>
                <w:szCs w:val="18"/>
              </w:rPr>
              <w:t xml:space="preserve">HIGH</w:t>
            </w:r>
          </w:p>
        </w:tc>
        <w:tc>
          <w:tcPr>
            <w:tcW w:type="dxa" w:w="126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r>
              <w:rPr>
                <w:rFonts w:ascii="Arial" w:cs="Arial" w:eastAsia="Arial" w:hAnsi="Arial"/>
                <w:sz w:val="18"/>
                <w:szCs w:val="18"/>
              </w:rPr>
              <w:t xml:space="preserve">Elevated</w:t>
            </w:r>
          </w:p>
        </w:tc>
        <w:tc>
          <w:tcPr>
            <w:tcW w:type="dxa" w:w="32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r>
              <w:rPr>
                <w:rFonts w:ascii="Arial" w:cs="Arial" w:eastAsia="Arial" w:hAnsi="Arial"/>
                <w:sz w:val="18"/>
                <w:szCs w:val="18"/>
              </w:rPr>
              <w:t xml:space="preserve">PDUFA Apr 30: AXS-05 (Auvelity) for Alzheimer's agitation. Priority Review. Breakthrough designation.</w:t>
            </w:r>
          </w:p>
        </w:tc>
      </w:tr>
      <w:tr>
        <w:tc>
          <w:tcPr>
            <w:tcW w:type="dxa" w:w="12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r>
              <w:rPr>
                <w:rFonts w:ascii="Arial" w:cs="Arial" w:eastAsia="Arial" w:hAnsi="Arial"/>
                <w:sz w:val="18"/>
                <w:szCs w:val="18"/>
              </w:rPr>
              <w:t xml:space="preserve">LGND</w:t>
            </w:r>
          </w:p>
        </w:tc>
        <w:tc>
          <w:tcPr>
            <w:tcW w:type="dxa" w:w="16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r>
              <w:rPr>
                <w:rFonts w:ascii="Arial" w:cs="Arial" w:eastAsia="Arial" w:hAnsi="Arial"/>
                <w:sz w:val="18"/>
                <w:szCs w:val="18"/>
              </w:rPr>
              <w:t xml:space="preserve">Ligand Pharmaceuticals</w:t>
            </w:r>
          </w:p>
        </w:tc>
        <w:tc>
          <w:tcPr>
            <w:tcW w:type="dxa" w:w="11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r>
              <w:rPr>
                <w:rFonts w:ascii="Arial" w:cs="Arial" w:eastAsia="Arial" w:hAnsi="Arial"/>
                <w:sz w:val="18"/>
                <w:szCs w:val="18"/>
              </w:rPr>
              <w:t xml:space="preserve">~$230</w:t>
            </w:r>
          </w:p>
        </w:tc>
        <w:tc>
          <w:tcPr>
            <w:tcW w:type="dxa" w:w="10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r>
              <w:rPr>
                <w:rFonts w:ascii="Arial" w:cs="Arial" w:eastAsia="Arial" w:hAnsi="Arial"/>
                <w:sz w:val="18"/>
                <w:szCs w:val="18"/>
              </w:rPr>
              <w:t xml:space="preserve">HIGH</w:t>
            </w:r>
          </w:p>
        </w:tc>
        <w:tc>
          <w:tcPr>
            <w:tcW w:type="dxa" w:w="126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r>
              <w:rPr>
                <w:rFonts w:ascii="Arial" w:cs="Arial" w:eastAsia="Arial" w:hAnsi="Arial"/>
                <w:sz w:val="18"/>
                <w:szCs w:val="18"/>
              </w:rPr>
              <w:t xml:space="preserve">+7.9%</w:t>
            </w:r>
          </w:p>
        </w:tc>
        <w:tc>
          <w:tcPr>
            <w:tcW w:type="dxa" w:w="32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r>
              <w:rPr>
                <w:rFonts w:ascii="Arial" w:cs="Arial" w:eastAsia="Arial" w:hAnsi="Arial"/>
                <w:sz w:val="18"/>
                <w:szCs w:val="18"/>
              </w:rPr>
              <w:t xml:space="preserve">Partner Travere received FULL FDA approval for FILSPARI in FSGS (Apr 14). LGND earns 9% royalty.</w:t>
            </w:r>
          </w:p>
        </w:tc>
      </w:tr>
      <w:tr>
        <w:tc>
          <w:tcPr>
            <w:tcW w:type="dxa" w:w="12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r>
              <w:rPr>
                <w:rFonts w:ascii="Arial" w:cs="Arial" w:eastAsia="Arial" w:hAnsi="Arial"/>
                <w:sz w:val="18"/>
                <w:szCs w:val="18"/>
              </w:rPr>
              <w:t xml:space="preserve">DNLI</w:t>
            </w:r>
          </w:p>
        </w:tc>
        <w:tc>
          <w:tcPr>
            <w:tcW w:type="dxa" w:w="16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r>
              <w:rPr>
                <w:rFonts w:ascii="Arial" w:cs="Arial" w:eastAsia="Arial" w:hAnsi="Arial"/>
                <w:sz w:val="18"/>
                <w:szCs w:val="18"/>
              </w:rPr>
              <w:t xml:space="preserve">Denali Therapeutics</w:t>
            </w:r>
          </w:p>
        </w:tc>
        <w:tc>
          <w:tcPr>
            <w:tcW w:type="dxa" w:w="11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r>
              <w:rPr>
                <w:rFonts w:ascii="Arial" w:cs="Arial" w:eastAsia="Arial" w:hAnsi="Arial"/>
                <w:sz w:val="18"/>
                <w:szCs w:val="18"/>
              </w:rPr>
              <w:t xml:space="preserve">~$25-30</w:t>
            </w:r>
          </w:p>
        </w:tc>
        <w:tc>
          <w:tcPr>
            <w:tcW w:type="dxa" w:w="10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r>
              <w:rPr>
                <w:rFonts w:ascii="Arial" w:cs="Arial" w:eastAsia="Arial" w:hAnsi="Arial"/>
                <w:sz w:val="18"/>
                <w:szCs w:val="18"/>
              </w:rPr>
              <w:t xml:space="preserve">HIGH</w:t>
            </w:r>
          </w:p>
        </w:tc>
        <w:tc>
          <w:tcPr>
            <w:tcW w:type="dxa" w:w="126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r>
              <w:rPr>
                <w:rFonts w:ascii="Arial" w:cs="Arial" w:eastAsia="Arial" w:hAnsi="Arial"/>
                <w:sz w:val="18"/>
                <w:szCs w:val="18"/>
              </w:rPr>
              <w:t xml:space="preserve">Elevated</w:t>
            </w:r>
          </w:p>
        </w:tc>
        <w:tc>
          <w:tcPr>
            <w:tcW w:type="dxa" w:w="32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r>
              <w:rPr>
                <w:rFonts w:ascii="Arial" w:cs="Arial" w:eastAsia="Arial" w:hAnsi="Arial"/>
                <w:sz w:val="18"/>
                <w:szCs w:val="18"/>
              </w:rPr>
              <w:t xml:space="preserve">AVLAYAH (tividenofusp alfa) FDA APPROVED Mar 25 for Hunter syndrome. First biologic to cross blood-brain barrier. Now in commercial launch.</w:t>
            </w:r>
          </w:p>
        </w:tc>
      </w:tr>
    </w:tbl>
    <w:p>
      <w:r>
        <w:br w:type="page"/>
      </w:r>
    </w:p>
    <w:p>
      <w:pPr>
        <w:pStyle w:val="Heading1"/>
      </w:pPr>
      <w:r>
        <w:t xml:space="preserve">Medium Signal Watchlist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100"/>
        <w:gridCol w:w="1000"/>
        <w:gridCol w:w="1260"/>
        <w:gridCol w:w="3200"/>
      </w:tblGrid>
      <w:tr>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Ticker</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Company</w:t>
            </w:r>
          </w:p>
        </w:tc>
        <w:tc>
          <w:tcPr>
            <w:tcW w:type="dxa" w:w="11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Price</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Signal</w:t>
            </w:r>
          </w:p>
        </w:tc>
        <w:tc>
          <w:tcPr>
            <w:tcW w:type="dxa" w:w="12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Volume</w:t>
            </w:r>
          </w:p>
        </w:tc>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Catalyst / Notes</w:t>
            </w:r>
          </w:p>
        </w:tc>
      </w:tr>
      <w:tr>
        <w:tc>
          <w:tcPr>
            <w:tcW w:type="dxa" w:w="1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18"/>
                <w:szCs w:val="18"/>
              </w:rPr>
              <w:t xml:space="preserve">OABI</w:t>
            </w:r>
          </w:p>
        </w:tc>
        <w:tc>
          <w:tcPr>
            <w:tcW w:type="dxa" w:w="16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18"/>
                <w:szCs w:val="18"/>
              </w:rPr>
              <w:t xml:space="preserve">OmniAb Inc</w:t>
            </w:r>
          </w:p>
        </w:tc>
        <w:tc>
          <w:tcPr>
            <w:tcW w:type="dxa" w:w="11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18"/>
                <w:szCs w:val="18"/>
              </w:rPr>
              <w:t xml:space="preserve">~$1.50</w:t>
            </w:r>
          </w:p>
        </w:tc>
        <w:tc>
          <w:tcPr>
            <w:tcW w:type="dxa" w:w="10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18"/>
                <w:szCs w:val="18"/>
              </w:rPr>
              <w:t xml:space="preserve">MEDIUM</w:t>
            </w:r>
          </w:p>
        </w:tc>
        <w:tc>
          <w:tcPr>
            <w:tcW w:type="dxa" w:w="12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18"/>
                <w:szCs w:val="18"/>
              </w:rPr>
              <w:t xml:space="preserve">Rising</w:t>
            </w:r>
          </w:p>
        </w:tc>
        <w:tc>
          <w:tcPr>
            <w:tcW w:type="dxa" w:w="3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18"/>
                <w:szCs w:val="18"/>
              </w:rPr>
              <w:t xml:space="preserve">Mgmt called 2026 'strongest calendar of near-term events.' Penny stock rally momentum.</w:t>
            </w:r>
          </w:p>
        </w:tc>
      </w:tr>
      <w:tr>
        <w:tc>
          <w:tcPr>
            <w:tcW w:type="dxa" w:w="1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18"/>
                <w:szCs w:val="18"/>
              </w:rPr>
              <w:t xml:space="preserve">PACB</w:t>
            </w:r>
          </w:p>
        </w:tc>
        <w:tc>
          <w:tcPr>
            <w:tcW w:type="dxa" w:w="16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18"/>
                <w:szCs w:val="18"/>
              </w:rPr>
              <w:t xml:space="preserve">Pacific Biosciences</w:t>
            </w:r>
          </w:p>
        </w:tc>
        <w:tc>
          <w:tcPr>
            <w:tcW w:type="dxa" w:w="11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18"/>
                <w:szCs w:val="18"/>
              </w:rPr>
              <w:t xml:space="preserve">~$1.42</w:t>
            </w:r>
          </w:p>
        </w:tc>
        <w:tc>
          <w:tcPr>
            <w:tcW w:type="dxa" w:w="10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18"/>
                <w:szCs w:val="18"/>
              </w:rPr>
              <w:t xml:space="preserve">MEDIUM</w:t>
            </w:r>
          </w:p>
        </w:tc>
        <w:tc>
          <w:tcPr>
            <w:tcW w:type="dxa" w:w="12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18"/>
                <w:szCs w:val="18"/>
              </w:rPr>
              <w:t xml:space="preserve">Elevated</w:t>
            </w:r>
          </w:p>
        </w:tc>
        <w:tc>
          <w:tcPr>
            <w:tcW w:type="dxa" w:w="3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18"/>
                <w:szCs w:val="18"/>
              </w:rPr>
              <w:t xml:space="preserve">Trillion Gene Atlas deal. Analyst target $4.32. SPRQ-Nx platform updates in 2026.</w:t>
            </w:r>
          </w:p>
        </w:tc>
      </w:tr>
      <w:tr>
        <w:tc>
          <w:tcPr>
            <w:tcW w:type="dxa" w:w="1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18"/>
                <w:szCs w:val="18"/>
              </w:rPr>
              <w:t xml:space="preserve">ABCL</w:t>
            </w:r>
          </w:p>
        </w:tc>
        <w:tc>
          <w:tcPr>
            <w:tcW w:type="dxa" w:w="16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18"/>
                <w:szCs w:val="18"/>
              </w:rPr>
              <w:t xml:space="preserve">AbCellera Biologics</w:t>
            </w:r>
          </w:p>
        </w:tc>
        <w:tc>
          <w:tcPr>
            <w:tcW w:type="dxa" w:w="11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18"/>
                <w:szCs w:val="18"/>
              </w:rPr>
              <w:t xml:space="preserve">~$4-5</w:t>
            </w:r>
          </w:p>
        </w:tc>
        <w:tc>
          <w:tcPr>
            <w:tcW w:type="dxa" w:w="10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18"/>
                <w:szCs w:val="18"/>
              </w:rPr>
              <w:t xml:space="preserve">MEDIUM</w:t>
            </w:r>
          </w:p>
        </w:tc>
        <w:tc>
          <w:tcPr>
            <w:tcW w:type="dxa" w:w="12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18"/>
                <w:szCs w:val="18"/>
              </w:rPr>
              <w:t xml:space="preserve">+81.6% YoY</w:t>
            </w:r>
          </w:p>
        </w:tc>
        <w:tc>
          <w:tcPr>
            <w:tcW w:type="dxa" w:w="3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18"/>
                <w:szCs w:val="18"/>
              </w:rPr>
              <w:t xml:space="preserve">Outpacing S&amp;P 500. Goldman small-cap catalyst pick. AI drug discovery momentum.</w:t>
            </w:r>
          </w:p>
        </w:tc>
      </w:tr>
      <w:tr>
        <w:tc>
          <w:tcPr>
            <w:tcW w:type="dxa" w:w="1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18"/>
                <w:szCs w:val="18"/>
              </w:rPr>
              <w:t xml:space="preserve">TECH</w:t>
            </w:r>
          </w:p>
        </w:tc>
        <w:tc>
          <w:tcPr>
            <w:tcW w:type="dxa" w:w="16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18"/>
                <w:szCs w:val="18"/>
              </w:rPr>
              <w:t xml:space="preserve">Bio-Techne Corp</w:t>
            </w:r>
          </w:p>
        </w:tc>
        <w:tc>
          <w:tcPr>
            <w:tcW w:type="dxa" w:w="11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18"/>
                <w:szCs w:val="18"/>
              </w:rPr>
              <w:t xml:space="preserve">~$55-60</w:t>
            </w:r>
          </w:p>
        </w:tc>
        <w:tc>
          <w:tcPr>
            <w:tcW w:type="dxa" w:w="10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18"/>
                <w:szCs w:val="18"/>
              </w:rPr>
              <w:t xml:space="preserve">MEDIUM</w:t>
            </w:r>
          </w:p>
        </w:tc>
        <w:tc>
          <w:tcPr>
            <w:tcW w:type="dxa" w:w="12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18"/>
                <w:szCs w:val="18"/>
              </w:rPr>
              <w:t xml:space="preserve">454% put vol</w:t>
            </w:r>
          </w:p>
        </w:tc>
        <w:tc>
          <w:tcPr>
            <w:tcW w:type="dxa" w:w="3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18"/>
                <w:szCs w:val="18"/>
              </w:rPr>
              <w:t xml:space="preserve">Unusual options: 10,003 puts traded (454% above avg) on Apr 10. Bearish signal.</w:t>
            </w:r>
          </w:p>
        </w:tc>
      </w:tr>
      <w:tr>
        <w:tc>
          <w:tcPr>
            <w:tcW w:type="dxa" w:w="1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18"/>
                <w:szCs w:val="18"/>
              </w:rPr>
              <w:t xml:space="preserve">TVTX</w:t>
            </w:r>
          </w:p>
        </w:tc>
        <w:tc>
          <w:tcPr>
            <w:tcW w:type="dxa" w:w="16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18"/>
                <w:szCs w:val="18"/>
              </w:rPr>
              <w:t xml:space="preserve">Travere Therapeutics</w:t>
            </w:r>
          </w:p>
        </w:tc>
        <w:tc>
          <w:tcPr>
            <w:tcW w:type="dxa" w:w="11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18"/>
                <w:szCs w:val="18"/>
              </w:rPr>
              <w:t xml:space="preserve">~$18-22</w:t>
            </w:r>
          </w:p>
        </w:tc>
        <w:tc>
          <w:tcPr>
            <w:tcW w:type="dxa" w:w="10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18"/>
                <w:szCs w:val="18"/>
              </w:rPr>
              <w:t xml:space="preserve">MEDIUM</w:t>
            </w:r>
          </w:p>
        </w:tc>
        <w:tc>
          <w:tcPr>
            <w:tcW w:type="dxa" w:w="12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18"/>
                <w:szCs w:val="18"/>
              </w:rPr>
              <w:t xml:space="preserve">Elevated</w:t>
            </w:r>
          </w:p>
        </w:tc>
        <w:tc>
          <w:tcPr>
            <w:tcW w:type="dxa" w:w="3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18"/>
                <w:szCs w:val="18"/>
              </w:rPr>
              <w:t xml:space="preserve">Full FDA approval for FILSPARI in FSGS (Apr 14). First approved med for FSGS. 30K+ US patients.</w:t>
            </w:r>
          </w:p>
        </w:tc>
      </w:tr>
      <w:tr>
        <w:tc>
          <w:tcPr>
            <w:tcW w:type="dxa" w:w="1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18"/>
                <w:szCs w:val="18"/>
              </w:rPr>
              <w:t xml:space="preserve">ACET</w:t>
            </w:r>
          </w:p>
        </w:tc>
        <w:tc>
          <w:tcPr>
            <w:tcW w:type="dxa" w:w="16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18"/>
                <w:szCs w:val="18"/>
              </w:rPr>
              <w:t xml:space="preserve">Adicet Bio</w:t>
            </w:r>
          </w:p>
        </w:tc>
        <w:tc>
          <w:tcPr>
            <w:tcW w:type="dxa" w:w="11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18"/>
                <w:szCs w:val="18"/>
              </w:rPr>
              <w:t xml:space="preserve">~$7</w:t>
            </w:r>
          </w:p>
        </w:tc>
        <w:tc>
          <w:tcPr>
            <w:tcW w:type="dxa" w:w="10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18"/>
                <w:szCs w:val="18"/>
              </w:rPr>
              <w:t xml:space="preserve">MEDIUM</w:t>
            </w:r>
          </w:p>
        </w:tc>
        <w:tc>
          <w:tcPr>
            <w:tcW w:type="dxa" w:w="12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18"/>
                <w:szCs w:val="18"/>
              </w:rPr>
              <w:t xml:space="preserve">Insider buy</w:t>
            </w:r>
          </w:p>
        </w:tc>
        <w:tc>
          <w:tcPr>
            <w:tcW w:type="dxa" w:w="3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18"/>
                <w:szCs w:val="18"/>
              </w:rPr>
              <w:t xml:space="preserve">RA Capital bought 223,596 shares (~$7 each) via open market. Filed Apr 13.</w:t>
            </w:r>
          </w:p>
        </w:tc>
      </w:tr>
      <w:tr>
        <w:tc>
          <w:tcPr>
            <w:tcW w:type="dxa" w:w="1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18"/>
                <w:szCs w:val="18"/>
              </w:rPr>
              <w:t xml:space="preserve">NVAX</w:t>
            </w:r>
          </w:p>
        </w:tc>
        <w:tc>
          <w:tcPr>
            <w:tcW w:type="dxa" w:w="16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18"/>
                <w:szCs w:val="18"/>
              </w:rPr>
              <w:t xml:space="preserve">Novavax</w:t>
            </w:r>
          </w:p>
        </w:tc>
        <w:tc>
          <w:tcPr>
            <w:tcW w:type="dxa" w:w="11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18"/>
                <w:szCs w:val="18"/>
              </w:rPr>
              <w:t xml:space="preserve">~$6-8</w:t>
            </w:r>
          </w:p>
        </w:tc>
        <w:tc>
          <w:tcPr>
            <w:tcW w:type="dxa" w:w="10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18"/>
                <w:szCs w:val="18"/>
              </w:rPr>
              <w:t xml:space="preserve">MEDIUM</w:t>
            </w:r>
          </w:p>
        </w:tc>
        <w:tc>
          <w:tcPr>
            <w:tcW w:type="dxa" w:w="12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18"/>
                <w:szCs w:val="18"/>
              </w:rPr>
              <w:t xml:space="preserve">13D filing</w:t>
            </w:r>
          </w:p>
        </w:tc>
        <w:tc>
          <w:tcPr>
            <w:tcW w:type="dxa" w:w="3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18"/>
                <w:szCs w:val="18"/>
              </w:rPr>
              <w:t xml:space="preserve">Shah Capital (9.11% stake) activist push. Voting against board. Governance concerns.</w:t>
            </w:r>
          </w:p>
        </w:tc>
      </w:tr>
    </w:tbl>
    <w:p>
      <w:r>
        <w:br w:type="page"/>
      </w:r>
    </w:p>
    <w:p>
      <w:pPr>
        <w:pStyle w:val="Heading1"/>
      </w:pPr>
      <w:r>
        <w:t xml:space="preserve">SEC Filing Alerts</w:t>
      </w:r>
    </w:p>
    <w:p>
      <w:pPr>
        <w:pStyle w:val="Heading2"/>
      </w:pPr>
      <w:r>
        <w:t xml:space="preserve">Insider Buying (Form 4)</w:t>
      </w:r>
    </w:p>
    <w:p>
      <w:pPr>
        <w:pStyle w:val="ListParagraph"/>
        <w:numPr>
          <w:ilvl w:val="0"/>
          <w:numId w:val="2"/>
        </w:numPr>
      </w:pPr>
      <w:r>
        <w:rPr>
          <w:rFonts w:ascii="Arial" w:cs="Arial" w:eastAsia="Arial" w:hAnsi="Arial"/>
          <w:b/>
          <w:bCs/>
          <w:sz w:val="22"/>
          <w:szCs w:val="22"/>
        </w:rPr>
        <w:t xml:space="preserve">ACET (Adicet Bio)</w:t>
      </w:r>
      <w:r>
        <w:rPr>
          <w:rFonts w:ascii="Arial" w:cs="Arial" w:eastAsia="Arial" w:hAnsi="Arial"/>
          <w:sz w:val="22"/>
          <w:szCs w:val="22"/>
        </w:rPr>
        <w:t xml:space="preserve"> - RA Capital Healthcare Fund bought 223,596 shares at ~$7 via open-market purchases. Filed Apr 13, 2026. Source: SEC Form 4 / StockTitan.</w:t>
      </w:r>
    </w:p>
    <w:p>
      <w:pPr>
        <w:pStyle w:val="ListParagraph"/>
        <w:numPr>
          <w:ilvl w:val="0"/>
          <w:numId w:val="2"/>
        </w:numPr>
      </w:pPr>
      <w:r>
        <w:rPr>
          <w:rFonts w:ascii="Arial" w:cs="Arial" w:eastAsia="Arial" w:hAnsi="Arial"/>
          <w:b/>
          <w:bCs/>
          <w:sz w:val="22"/>
          <w:szCs w:val="22"/>
        </w:rPr>
        <w:t xml:space="preserve">LPCN (Lipocine)</w:t>
      </w:r>
      <w:r>
        <w:rPr>
          <w:rFonts w:ascii="Arial" w:cs="Arial" w:eastAsia="Arial" w:hAnsi="Arial"/>
          <w:sz w:val="22"/>
          <w:szCs w:val="22"/>
        </w:rPr>
        <w:t xml:space="preserve"> - Director John W. Higuchi acquired 40,000 shares at $2.03 ($81,199 total) on Apr 7, 2026. Source: OpenInsider.</w:t>
      </w:r>
    </w:p>
    <w:p>
      <w:pPr>
        <w:pStyle w:val="Heading2"/>
      </w:pPr>
      <w:r>
        <w:t xml:space="preserve">Activist / 13D Filings</w:t>
      </w:r>
    </w:p>
    <w:p>
      <w:pPr>
        <w:pStyle w:val="ListParagraph"/>
        <w:numPr>
          <w:ilvl w:val="0"/>
          <w:numId w:val="2"/>
        </w:numPr>
      </w:pPr>
      <w:r>
        <w:rPr>
          <w:rFonts w:ascii="Arial" w:cs="Arial" w:eastAsia="Arial" w:hAnsi="Arial"/>
          <w:b/>
          <w:bCs/>
          <w:sz w:val="22"/>
          <w:szCs w:val="22"/>
        </w:rPr>
        <w:t xml:space="preserve">NVAX (Novavax)</w:t>
      </w:r>
      <w:r>
        <w:rPr>
          <w:rFonts w:ascii="Arial" w:cs="Arial" w:eastAsia="Arial" w:hAnsi="Arial"/>
          <w:sz w:val="22"/>
          <w:szCs w:val="22"/>
        </w:rPr>
        <w:t xml:space="preserve"> - Shah Capital (9.11%, 14.8M shares) filed 13D Amendment No. 6. Open letter (Apr 8) voting against board nominees and exec comp. Cites value destruction and pessimistic 2026 revenue forecast. Source: SEC EDGAR.</w:t>
      </w:r>
    </w:p>
    <w:p>
      <w:pPr>
        <w:pStyle w:val="Heading2"/>
      </w:pPr>
      <w:r>
        <w:t xml:space="preserve">Notable FDA Approval (8-K Catalyst)</w:t>
      </w:r>
    </w:p>
    <w:p>
      <w:pPr>
        <w:pStyle w:val="ListParagraph"/>
        <w:numPr>
          <w:ilvl w:val="0"/>
          <w:numId w:val="2"/>
        </w:numPr>
      </w:pPr>
      <w:r>
        <w:rPr>
          <w:rFonts w:ascii="Arial" w:cs="Arial" w:eastAsia="Arial" w:hAnsi="Arial"/>
          <w:b/>
          <w:bCs/>
          <w:sz w:val="22"/>
          <w:szCs w:val="22"/>
        </w:rPr>
        <w:t xml:space="preserve">TVTX / LGND (Travere / Ligand)</w:t>
      </w:r>
      <w:r>
        <w:rPr>
          <w:rFonts w:ascii="Arial" w:cs="Arial" w:eastAsia="Arial" w:hAnsi="Arial"/>
          <w:sz w:val="22"/>
          <w:szCs w:val="22"/>
        </w:rPr>
        <w:t xml:space="preserve"> - Full FDA approval of FILSPARI (sparsentan) for FSGS on Apr 14. First approved treatment for FSGS. Phase 3 DUPLEX data: 48% proteinuria reduction vs 27% irbesartan. ~30K eligible US patients. LGND earns 9% royalty. Source: GlobeNewsWire, Travere IR.</w:t>
      </w:r>
    </w:p>
    <w:p>
      <w:pPr>
        <w:pStyle w:val="Heading1"/>
      </w:pPr>
      <w:r>
        <w:t xml:space="preserve">FDA &amp; Clinical Catalysts</w:t>
      </w:r>
    </w:p>
    <w:p>
      <w:pPr>
        <w:pStyle w:val="Heading2"/>
      </w:pPr>
      <w:r>
        <w:t xml:space="preserve">Upcoming PDUFA Dates</w:t>
      </w:r>
    </w:p>
    <w:p>
      <w:pPr>
        <w:pStyle w:val="ListParagraph"/>
        <w:numPr>
          <w:ilvl w:val="0"/>
          <w:numId w:val="2"/>
        </w:numPr>
      </w:pPr>
      <w:r>
        <w:rPr>
          <w:rFonts w:ascii="Arial" w:cs="Arial" w:eastAsia="Arial" w:hAnsi="Arial"/>
          <w:b/>
          <w:bCs/>
          <w:sz w:val="22"/>
          <w:szCs w:val="22"/>
        </w:rPr>
        <w:t xml:space="preserve">Mar 25 (RECENT): DNLI</w:t>
      </w:r>
      <w:r>
        <w:rPr>
          <w:rFonts w:ascii="Arial" w:cs="Arial" w:eastAsia="Arial" w:hAnsi="Arial"/>
          <w:sz w:val="22"/>
          <w:szCs w:val="22"/>
        </w:rPr>
        <w:t xml:space="preserve"> - AVLAYAH (tividenofusp alfa-eknm) APPROVED for Hunter syndrome (MPS II). Accelerated approval. First biologic designed to cross blood-brain barrier. Now in commercial launch phase. Source: Denali IR, FDA.gov.</w:t>
      </w:r>
    </w:p>
    <w:p>
      <w:pPr>
        <w:pStyle w:val="ListParagraph"/>
        <w:numPr>
          <w:ilvl w:val="0"/>
          <w:numId w:val="2"/>
        </w:numPr>
      </w:pPr>
      <w:r>
        <w:rPr>
          <w:rFonts w:ascii="Arial" w:cs="Arial" w:eastAsia="Arial" w:hAnsi="Arial"/>
          <w:b/>
          <w:bCs/>
          <w:sz w:val="22"/>
          <w:szCs w:val="22"/>
        </w:rPr>
        <w:t xml:space="preserve">Apr 30: AXSM</w:t>
      </w:r>
      <w:r>
        <w:rPr>
          <w:rFonts w:ascii="Arial" w:cs="Arial" w:eastAsia="Arial" w:hAnsi="Arial"/>
          <w:sz w:val="22"/>
          <w:szCs w:val="22"/>
        </w:rPr>
        <w:t xml:space="preserve"> - AXS-05 (Auvelity/dextromethorphan-bupropion) sNDA for Alzheimer's disease agitation. Priority Review. Breakthrough Therapy designation (2020). 4 Phase 3 trials. ~76% of AD patients experience agitation. Source: BioSpace, FDA.</w:t>
      </w:r>
    </w:p>
    <w:p>
      <w:pPr>
        <w:pStyle w:val="ListParagraph"/>
        <w:numPr>
          <w:ilvl w:val="0"/>
          <w:numId w:val="2"/>
        </w:numPr>
      </w:pPr>
      <w:r>
        <w:rPr>
          <w:rFonts w:ascii="Arial" w:cs="Arial" w:eastAsia="Arial" w:hAnsi="Arial"/>
          <w:b/>
          <w:bCs/>
          <w:sz w:val="22"/>
          <w:szCs w:val="22"/>
        </w:rPr>
        <w:t xml:space="preserve">Apr 30: AZN (AstraZeneca)</w:t>
      </w:r>
      <w:r>
        <w:rPr>
          <w:rFonts w:ascii="Arial" w:cs="Arial" w:eastAsia="Arial" w:hAnsi="Arial"/>
          <w:sz w:val="22"/>
          <w:szCs w:val="22"/>
        </w:rPr>
        <w:t xml:space="preserve"> - ODAC Advisory Committee meeting for camizestrant (oral SERD) and Truqap (capivasertib) new indication. First AdCom since July 2025. Source: FierceBiotech.</w:t>
      </w:r>
    </w:p>
    <w:p>
      <w:pPr>
        <w:pStyle w:val="Heading2"/>
      </w:pPr>
      <w:r>
        <w:t xml:space="preserve">Clinical Trial Readouts</w:t>
      </w:r>
    </w:p>
    <w:p>
      <w:pPr>
        <w:pStyle w:val="ListParagraph"/>
        <w:numPr>
          <w:ilvl w:val="0"/>
          <w:numId w:val="2"/>
        </w:numPr>
      </w:pPr>
      <w:r>
        <w:rPr>
          <w:rFonts w:ascii="Arial" w:cs="Arial" w:eastAsia="Arial" w:hAnsi="Arial"/>
          <w:b/>
          <w:bCs/>
          <w:sz w:val="22"/>
          <w:szCs w:val="22"/>
        </w:rPr>
        <w:t xml:space="preserve">ALLO (Allogene) - ALPHA3 Interim (Apr 13):</w:t>
      </w:r>
      <w:r>
        <w:rPr>
          <w:rFonts w:ascii="Arial" w:cs="Arial" w:eastAsia="Arial" w:hAnsi="Arial"/>
          <w:sz w:val="22"/>
          <w:szCs w:val="22"/>
        </w:rPr>
        <w:t xml:space="preserve"> Pivotal Phase 2 in first-line LBCL. Cema-cel showed 58.3% MRD clearance vs 16.7% observation. No CRS, ICANS, GvHD, or treatment-related SAEs. Source: GlobeNewsWire.</w:t>
      </w:r>
    </w:p>
    <w:p>
      <w:pPr>
        <w:pStyle w:val="ListParagraph"/>
        <w:numPr>
          <w:ilvl w:val="0"/>
          <w:numId w:val="2"/>
        </w:numPr>
      </w:pPr>
      <w:r>
        <w:rPr>
          <w:rFonts w:ascii="Arial" w:cs="Arial" w:eastAsia="Arial" w:hAnsi="Arial"/>
          <w:b/>
          <w:bCs/>
          <w:sz w:val="22"/>
          <w:szCs w:val="22"/>
        </w:rPr>
        <w:t xml:space="preserve">Intellia Therapeutics:</w:t>
      </w:r>
      <w:r>
        <w:rPr>
          <w:rFonts w:ascii="Arial" w:cs="Arial" w:eastAsia="Arial" w:hAnsi="Arial"/>
          <w:sz w:val="22"/>
          <w:szCs w:val="22"/>
        </w:rPr>
        <w:t xml:space="preserve"> Phase 3 hereditary angioedema results expected H1 2026. Source: BioPharma Dive.</w:t>
      </w:r>
    </w:p>
    <w:p>
      <w:pPr>
        <w:pStyle w:val="ListParagraph"/>
        <w:numPr>
          <w:ilvl w:val="0"/>
          <w:numId w:val="2"/>
        </w:numPr>
      </w:pPr>
      <w:r>
        <w:rPr>
          <w:rFonts w:ascii="Arial" w:cs="Arial" w:eastAsia="Arial" w:hAnsi="Arial"/>
          <w:b/>
          <w:bCs/>
          <w:sz w:val="22"/>
          <w:szCs w:val="22"/>
        </w:rPr>
        <w:t xml:space="preserve">Revolution Medicines:</w:t>
      </w:r>
      <w:r>
        <w:rPr>
          <w:rFonts w:ascii="Arial" w:cs="Arial" w:eastAsia="Arial" w:hAnsi="Arial"/>
          <w:sz w:val="22"/>
          <w:szCs w:val="22"/>
        </w:rPr>
        <w:t xml:space="preserve"> Phase 3 second-line pancreatic cancer results expected H1 2026. Source: BioPharma Dive.</w:t>
      </w:r>
    </w:p>
    <w:p>
      <w:pPr>
        <w:pStyle w:val="ListParagraph"/>
        <w:numPr>
          <w:ilvl w:val="0"/>
          <w:numId w:val="2"/>
        </w:numPr>
      </w:pPr>
      <w:r>
        <w:rPr>
          <w:rFonts w:ascii="Arial" w:cs="Arial" w:eastAsia="Arial" w:hAnsi="Arial"/>
          <w:b/>
          <w:bCs/>
          <w:sz w:val="22"/>
          <w:szCs w:val="22"/>
        </w:rPr>
        <w:t xml:space="preserve">Regenxbio:</w:t>
      </w:r>
      <w:r>
        <w:rPr>
          <w:rFonts w:ascii="Arial" w:cs="Arial" w:eastAsia="Arial" w:hAnsi="Arial"/>
          <w:sz w:val="22"/>
          <w:szCs w:val="22"/>
        </w:rPr>
        <w:t xml:space="preserve"> Phase 3 Duchenne muscular dystrophy results expected early 2026. Source: BioPharma Dive.</w:t>
      </w:r>
    </w:p>
    <w:p>
      <w:pPr>
        <w:pStyle w:val="Heading1"/>
      </w:pPr>
      <w:r>
        <w:t xml:space="preserve">Social Buzz &amp; Sentiment</w:t>
      </w:r>
    </w:p>
    <w:p>
      <w:pPr>
        <w:pStyle w:val="ListParagraph"/>
        <w:numPr>
          <w:ilvl w:val="0"/>
          <w:numId w:val="2"/>
        </w:numPr>
      </w:pPr>
      <w:r>
        <w:rPr>
          <w:rFonts w:ascii="Arial" w:cs="Arial" w:eastAsia="Arial" w:hAnsi="Arial"/>
          <w:b/>
          <w:bCs/>
          <w:sz w:val="22"/>
          <w:szCs w:val="22"/>
        </w:rPr>
        <w:t xml:space="preserve">ALLO (Allogene):</w:t>
      </w:r>
      <w:r>
        <w:rPr>
          <w:rFonts w:ascii="Arial" w:cs="Arial" w:eastAsia="Arial" w:hAnsi="Arial"/>
          <w:sz w:val="22"/>
          <w:szCs w:val="22"/>
        </w:rPr>
        <w:t xml:space="preserve"> High activity on StockTwits and Reddit following ALPHA3 data release. Bullish sentiment. Source: Timothy Sykes, StocksTotrade.</w:t>
      </w:r>
    </w:p>
    <w:p>
      <w:pPr>
        <w:pStyle w:val="ListParagraph"/>
        <w:numPr>
          <w:ilvl w:val="0"/>
          <w:numId w:val="2"/>
        </w:numPr>
      </w:pPr>
      <w:r>
        <w:rPr>
          <w:rFonts w:ascii="Arial" w:cs="Arial" w:eastAsia="Arial" w:hAnsi="Arial"/>
          <w:b/>
          <w:bCs/>
          <w:sz w:val="22"/>
          <w:szCs w:val="22"/>
        </w:rPr>
        <w:t xml:space="preserve">OABI / PACB / ABCL:</w:t>
      </w:r>
      <w:r>
        <w:rPr>
          <w:rFonts w:ascii="Arial" w:cs="Arial" w:eastAsia="Arial" w:hAnsi="Arial"/>
          <w:sz w:val="22"/>
          <w:szCs w:val="22"/>
        </w:rPr>
        <w:t xml:space="preserve"> Biotech penny stock rally drawing retail attention. Social chatter elevated on HeyGoTrade, Reddit small-cap subs. Source: HeyGoTrade.</w:t>
      </w:r>
    </w:p>
    <w:p>
      <w:pPr>
        <w:pStyle w:val="ListParagraph"/>
        <w:numPr>
          <w:ilvl w:val="0"/>
          <w:numId w:val="2"/>
        </w:numPr>
      </w:pPr>
      <w:r>
        <w:rPr>
          <w:rFonts w:ascii="Arial" w:cs="Arial" w:eastAsia="Arial" w:hAnsi="Arial"/>
          <w:b/>
          <w:bCs/>
          <w:sz w:val="22"/>
          <w:szCs w:val="22"/>
        </w:rPr>
        <w:t xml:space="preserve">BIIB (Biogen):</w:t>
      </w:r>
      <w:r>
        <w:rPr>
          <w:rFonts w:ascii="Arial" w:cs="Arial" w:eastAsia="Arial" w:hAnsi="Arial"/>
          <w:sz w:val="22"/>
          <w:szCs w:val="22"/>
        </w:rPr>
        <w:t xml:space="preserve"> 36 StockTwits mentions in past 7 days. Modest but present retail interest. Source: TrendEdgeAI.</w:t>
      </w:r>
    </w:p>
    <w:p>
      <w:pPr>
        <w:pStyle w:val="ListParagraph"/>
        <w:numPr>
          <w:ilvl w:val="0"/>
          <w:numId w:val="2"/>
        </w:numPr>
      </w:pPr>
      <w:r>
        <w:rPr>
          <w:rFonts w:ascii="Arial" w:cs="Arial" w:eastAsia="Arial" w:hAnsi="Arial"/>
          <w:b/>
          <w:bCs/>
          <w:sz w:val="22"/>
          <w:szCs w:val="22"/>
        </w:rPr>
        <w:t xml:space="preserve">Biotech M&amp;A chatter:</w:t>
      </w:r>
      <w:r>
        <w:rPr>
          <w:rFonts w:ascii="Arial" w:cs="Arial" w:eastAsia="Arial" w:hAnsi="Arial"/>
          <w:sz w:val="22"/>
          <w:szCs w:val="22"/>
        </w:rPr>
        <w:t xml:space="preserve"> Reddit/WSB discussing acquisition targets. Recent deals: Novartis/Regulus ($1.7B), Merck KGaA/SpringWorks ($3.9B), AstraZeneca/EsoBiotec ($1B). Source: AltIndex, Mitrade.</w:t>
      </w:r>
    </w:p>
    <w:p>
      <w:pPr>
        <w:pStyle w:val="Heading1"/>
      </w:pPr>
      <w:r>
        <w:t xml:space="preserve">Upcoming Conferences</w:t>
      </w:r>
    </w:p>
    <w:p>
      <w:pPr>
        <w:pStyle w:val="ListParagraph"/>
        <w:numPr>
          <w:ilvl w:val="0"/>
          <w:numId w:val="2"/>
        </w:numPr>
      </w:pPr>
      <w:r>
        <w:rPr>
          <w:rFonts w:ascii="Arial" w:cs="Arial" w:eastAsia="Arial" w:hAnsi="Arial"/>
          <w:b/>
          <w:bCs/>
          <w:sz w:val="22"/>
          <w:szCs w:val="22"/>
        </w:rPr>
        <w:t xml:space="preserve">AACR Annual Meeting 2026 (Apr 17-22, San Diego):</w:t>
      </w:r>
      <w:r>
        <w:rPr>
          <w:rFonts w:ascii="Arial" w:cs="Arial" w:eastAsia="Arial" w:hAnsi="Arial"/>
          <w:sz w:val="22"/>
          <w:szCs w:val="22"/>
        </w:rPr>
        <w:t xml:space="preserve"> Major oncology conference THIS WEEK. Natera (20 abstracts), NeoGenomics (8 posters + 1 oral), Biodesix (7 abstracts incl. 2 oral), PanGIA Biotech (2 abstracts). Late-breaking abstracts published Apr 17. Source: AACR.org.</w:t>
      </w:r>
    </w:p>
    <w:p>
      <w:pPr>
        <w:pStyle w:val="ListParagraph"/>
        <w:numPr>
          <w:ilvl w:val="0"/>
          <w:numId w:val="2"/>
        </w:numPr>
      </w:pPr>
      <w:r>
        <w:rPr>
          <w:rFonts w:ascii="Arial" w:cs="Arial" w:eastAsia="Arial" w:hAnsi="Arial"/>
          <w:b/>
          <w:bCs/>
          <w:sz w:val="22"/>
          <w:szCs w:val="22"/>
        </w:rPr>
        <w:t xml:space="preserve">BioFIT (Apr 22-24, Barcelona):</w:t>
      </w:r>
      <w:r>
        <w:rPr>
          <w:rFonts w:ascii="Arial" w:cs="Arial" w:eastAsia="Arial" w:hAnsi="Arial"/>
          <w:sz w:val="22"/>
          <w:szCs w:val="22"/>
        </w:rPr>
        <w:t xml:space="preserve"> Partnering meetings, licensing, and early investment opportunities. Source: Vendelux.</w:t>
      </w:r>
    </w:p>
    <w:p>
      <w:pPr>
        <w:pStyle w:val="ListParagraph"/>
        <w:numPr>
          <w:ilvl w:val="0"/>
          <w:numId w:val="2"/>
        </w:numPr>
      </w:pPr>
      <w:r>
        <w:rPr>
          <w:rFonts w:ascii="Arial" w:cs="Arial" w:eastAsia="Arial" w:hAnsi="Arial"/>
          <w:b/>
          <w:bCs/>
          <w:sz w:val="22"/>
          <w:szCs w:val="22"/>
        </w:rPr>
        <w:t xml:space="preserve">ChinaBio Partnering Forum (Apr 28-29):</w:t>
      </w:r>
      <w:r>
        <w:rPr>
          <w:rFonts w:ascii="Arial" w:cs="Arial" w:eastAsia="Arial" w:hAnsi="Arial"/>
          <w:sz w:val="22"/>
          <w:szCs w:val="22"/>
        </w:rPr>
        <w:t xml:space="preserve"> Cross-border biotech/pharma partnering. Source: Vendelux.</w:t>
      </w:r>
    </w:p>
    <w:p>
      <w:pPr>
        <w:pStyle w:val="ListParagraph"/>
        <w:numPr>
          <w:ilvl w:val="0"/>
          <w:numId w:val="2"/>
        </w:numPr>
      </w:pPr>
      <w:r>
        <w:rPr>
          <w:rFonts w:ascii="Arial" w:cs="Arial" w:eastAsia="Arial" w:hAnsi="Arial"/>
          <w:b/>
          <w:bCs/>
          <w:sz w:val="22"/>
          <w:szCs w:val="22"/>
        </w:rPr>
        <w:t xml:space="preserve">BioPharma &amp; Healthcare Summit (Apr 30, Boston):</w:t>
      </w:r>
      <w:r>
        <w:rPr>
          <w:rFonts w:ascii="Arial" w:cs="Arial" w:eastAsia="Arial" w:hAnsi="Arial"/>
          <w:sz w:val="22"/>
          <w:szCs w:val="22"/>
        </w:rPr>
        <w:t xml:space="preserve"> Biopharma leadership and healthcare stakeholder strategy. Source: Vendelux.</w:t>
      </w:r>
    </w:p>
    <w:p>
      <w:pPr>
        <w:pStyle w:val="ListParagraph"/>
        <w:numPr>
          <w:ilvl w:val="0"/>
          <w:numId w:val="2"/>
        </w:numPr>
      </w:pPr>
      <w:r>
        <w:rPr>
          <w:rFonts w:ascii="Arial" w:cs="Arial" w:eastAsia="Arial" w:hAnsi="Arial"/>
          <w:b/>
          <w:bCs/>
          <w:sz w:val="22"/>
          <w:szCs w:val="22"/>
        </w:rPr>
        <w:t xml:space="preserve">SynBioBeta (May 4, San Jose):</w:t>
      </w:r>
      <w:r>
        <w:rPr>
          <w:rFonts w:ascii="Arial" w:cs="Arial" w:eastAsia="Arial" w:hAnsi="Arial"/>
          <w:sz w:val="22"/>
          <w:szCs w:val="22"/>
        </w:rPr>
        <w:t xml:space="preserve"> Major synthetic biology event. Source: Labiotech.eu.</w:t>
      </w:r>
    </w:p>
    <w:p>
      <w:pPr>
        <w:pStyle w:val="ListParagraph"/>
        <w:numPr>
          <w:ilvl w:val="0"/>
          <w:numId w:val="2"/>
        </w:numPr>
      </w:pPr>
      <w:r>
        <w:rPr>
          <w:rFonts w:ascii="Arial" w:cs="Arial" w:eastAsia="Arial" w:hAnsi="Arial"/>
          <w:b/>
          <w:bCs/>
          <w:sz w:val="22"/>
          <w:szCs w:val="22"/>
        </w:rPr>
        <w:t xml:space="preserve">Bio-IT World (May 19-21, Boston):</w:t>
      </w:r>
      <w:r>
        <w:rPr>
          <w:rFonts w:ascii="Arial" w:cs="Arial" w:eastAsia="Arial" w:hAnsi="Arial"/>
          <w:sz w:val="22"/>
          <w:szCs w:val="22"/>
        </w:rPr>
        <w:t xml:space="preserve"> Hybrid format. Digital health, bioinformatics. Source: BioPharma Dive.</w:t>
      </w:r>
    </w:p>
    <w:p>
      <w:pPr>
        <w:pBdr>
          <w:top w:val="single" w:color="CCCCCC" w:sz="1" w:space="8"/>
        </w:pBdr>
        <w:spacing w:before="600"/>
      </w:pPr>
      <w:r>
        <w:rPr>
          <w:rFonts w:ascii="Arial" w:cs="Arial" w:eastAsia="Arial" w:hAnsi="Arial"/>
          <w:b/>
          <w:bCs/>
          <w:color w:val="999999"/>
          <w:sz w:val="16"/>
          <w:szCs w:val="16"/>
        </w:rPr>
        <w:t xml:space="preserve">DISCLAIMER: </w:t>
      </w:r>
      <w:r>
        <w:rPr>
          <w:rFonts w:ascii="Arial" w:cs="Arial" w:eastAsia="Arial" w:hAnsi="Arial"/>
          <w:color w:val="999999"/>
          <w:sz w:val="16"/>
          <w:szCs w:val="16"/>
        </w:rPr>
        <w:t xml:space="preserve">This report is for informational purposes only. Not investment advice. Always conduct your own due diligence before making investment decisions. Data sourced from public filings, news reports, and financial websites as of April 15, 2026. Prices and volumes are approximate and may not reflect real-time values.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BIOTECH SCUTTLEBUTT SCANNER | April 15,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5A8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2026-04-15T16:44:15.650Z</dcterms:created>
  <dcterms:modified xsi:type="dcterms:W3CDTF">2026-04-15T16:44:15.651Z</dcterms:modified>
</cp:coreProperties>
</file>

<file path=docProps/custom.xml><?xml version="1.0" encoding="utf-8"?>
<Properties xmlns="http://schemas.openxmlformats.org/officeDocument/2006/custom-properties" xmlns:vt="http://schemas.openxmlformats.org/officeDocument/2006/docPropsVTypes"/>
</file>